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0097" w14:textId="0A306F76" w:rsidR="00F9294E" w:rsidRPr="00E4154A" w:rsidRDefault="00E4154A" w:rsidP="00D725D1">
      <w:pPr>
        <w:pStyle w:val="Ttulo2"/>
        <w:spacing w:after="120"/>
        <w:rPr>
          <w:b/>
          <w:bCs w:val="0"/>
          <w:sz w:val="48"/>
          <w:szCs w:val="48"/>
          <w:lang w:val="en-US"/>
        </w:rPr>
      </w:pPr>
      <w:r w:rsidRPr="00E4154A">
        <w:rPr>
          <w:b/>
          <w:bCs w:val="0"/>
          <w:sz w:val="48"/>
          <w:szCs w:val="48"/>
          <w:lang w:val="en-US"/>
        </w:rPr>
        <w:t>Trump poised for White House return</w:t>
      </w:r>
    </w:p>
    <w:p w14:paraId="4B41A255" w14:textId="4B9B76B8" w:rsidR="00764028" w:rsidRPr="00B554FA" w:rsidRDefault="00B554FA" w:rsidP="00B554FA">
      <w:pPr>
        <w:rPr>
          <w:rFonts w:cstheme="minorHAnsi"/>
          <w:bCs/>
          <w:sz w:val="16"/>
          <w:szCs w:val="16"/>
          <w:lang w:val="en-US"/>
        </w:rPr>
      </w:pPr>
      <w:r w:rsidRPr="00B554FA">
        <w:rPr>
          <w:rFonts w:cstheme="minorHAnsi"/>
          <w:sz w:val="16"/>
          <w:szCs w:val="16"/>
          <w:lang w:val="en-US"/>
        </w:rPr>
        <w:t>By</w:t>
      </w:r>
      <w:r w:rsidR="005676B7" w:rsidRPr="00B554FA">
        <w:rPr>
          <w:rFonts w:cstheme="minorHAnsi"/>
          <w:bCs/>
          <w:sz w:val="16"/>
          <w:szCs w:val="16"/>
          <w:lang w:val="en-US"/>
        </w:rPr>
        <w:t xml:space="preserve"> </w:t>
      </w:r>
      <w:r w:rsidR="00E4154A" w:rsidRPr="00B554FA">
        <w:rPr>
          <w:rFonts w:cstheme="minorHAnsi"/>
          <w:b/>
          <w:sz w:val="16"/>
          <w:szCs w:val="16"/>
          <w:lang w:val="en-US"/>
        </w:rPr>
        <w:t>Greg Hirt</w:t>
      </w:r>
      <w:r w:rsidR="00E4154A" w:rsidRPr="00B554FA">
        <w:rPr>
          <w:rFonts w:cstheme="minorHAnsi"/>
          <w:bCs/>
          <w:sz w:val="16"/>
          <w:szCs w:val="16"/>
          <w:lang w:val="en-US"/>
        </w:rPr>
        <w:t>, Global CIO Multi Asset</w:t>
      </w:r>
      <w:r w:rsidRPr="00B554FA">
        <w:rPr>
          <w:rFonts w:cstheme="minorHAnsi"/>
          <w:bCs/>
          <w:sz w:val="16"/>
          <w:szCs w:val="16"/>
          <w:lang w:val="en-US"/>
        </w:rPr>
        <w:t xml:space="preserve"> | </w:t>
      </w:r>
      <w:r w:rsidRPr="00B554FA">
        <w:rPr>
          <w:rFonts w:cstheme="minorHAnsi"/>
          <w:b/>
          <w:sz w:val="16"/>
          <w:szCs w:val="16"/>
          <w:lang w:val="en-US"/>
        </w:rPr>
        <w:t>Michael Krautzberger</w:t>
      </w:r>
      <w:r w:rsidRPr="00B554FA">
        <w:rPr>
          <w:rFonts w:cstheme="minorHAnsi"/>
          <w:bCs/>
          <w:sz w:val="16"/>
          <w:szCs w:val="16"/>
          <w:lang w:val="en-US"/>
        </w:rPr>
        <w:t xml:space="preserve">, </w:t>
      </w:r>
      <w:r w:rsidRPr="00B554FA">
        <w:rPr>
          <w:rFonts w:cstheme="minorHAnsi"/>
          <w:bCs/>
          <w:sz w:val="16"/>
          <w:szCs w:val="16"/>
          <w:lang w:val="en-US"/>
        </w:rPr>
        <w:t>Global CIO Fixed Income</w:t>
      </w:r>
      <w:r w:rsidRPr="00B554FA">
        <w:rPr>
          <w:rFonts w:cstheme="minorHAnsi"/>
          <w:bCs/>
          <w:sz w:val="16"/>
          <w:szCs w:val="16"/>
          <w:lang w:val="en-US"/>
        </w:rPr>
        <w:t xml:space="preserve"> | </w:t>
      </w:r>
      <w:r w:rsidRPr="00B554FA">
        <w:rPr>
          <w:rFonts w:cstheme="minorHAnsi"/>
          <w:b/>
          <w:sz w:val="16"/>
          <w:szCs w:val="16"/>
          <w:lang w:val="en-US"/>
        </w:rPr>
        <w:t>Virginie Maisonneuve</w:t>
      </w:r>
      <w:r w:rsidRPr="00B554FA">
        <w:rPr>
          <w:rFonts w:cstheme="minorHAnsi"/>
          <w:bCs/>
          <w:sz w:val="16"/>
          <w:szCs w:val="16"/>
          <w:lang w:val="en-US"/>
        </w:rPr>
        <w:t xml:space="preserve">, </w:t>
      </w:r>
      <w:r w:rsidRPr="00B554FA">
        <w:rPr>
          <w:rFonts w:cstheme="minorHAnsi"/>
          <w:bCs/>
          <w:sz w:val="16"/>
          <w:szCs w:val="16"/>
          <w:lang w:val="en-US"/>
        </w:rPr>
        <w:t xml:space="preserve">Global CIO Equities  </w:t>
      </w:r>
    </w:p>
    <w:p w14:paraId="3A33A7DE" w14:textId="7B2C0471" w:rsidR="00E4154A" w:rsidRPr="00E4154A" w:rsidRDefault="00E4154A" w:rsidP="00153BDF">
      <w:pPr>
        <w:rPr>
          <w:rFonts w:cstheme="minorHAnsi"/>
          <w:i/>
          <w:iCs/>
          <w:sz w:val="28"/>
          <w:szCs w:val="28"/>
          <w:lang w:val="en-US"/>
        </w:rPr>
      </w:pPr>
      <w:r w:rsidRPr="00E4154A">
        <w:rPr>
          <w:rFonts w:cstheme="minorHAnsi"/>
          <w:i/>
          <w:iCs/>
          <w:sz w:val="28"/>
          <w:szCs w:val="28"/>
          <w:lang w:val="en-US"/>
        </w:rPr>
        <w:t>With all signs pointing to a Donald Trump win, we expect many of his populist policies to cause ripples, even though markets were largely priced for this outcome. How might investors navigate the election result?</w:t>
      </w:r>
    </w:p>
    <w:p w14:paraId="5B700A95" w14:textId="2CAAF155" w:rsidR="00E4154A" w:rsidRPr="00E4154A" w:rsidRDefault="00E4154A" w:rsidP="00E4154A">
      <w:pPr>
        <w:pStyle w:val="PargrafodaLista"/>
        <w:numPr>
          <w:ilvl w:val="0"/>
          <w:numId w:val="26"/>
        </w:numPr>
        <w:rPr>
          <w:rFonts w:cstheme="minorHAnsi"/>
          <w:i/>
          <w:iCs/>
          <w:lang w:val="en-US"/>
        </w:rPr>
      </w:pPr>
      <w:r w:rsidRPr="00E4154A">
        <w:rPr>
          <w:rFonts w:cstheme="minorHAnsi"/>
          <w:i/>
          <w:iCs/>
          <w:lang w:val="en-US"/>
        </w:rPr>
        <w:t>Donald Trump’s focus on lower corporate taxes and further de-regulation should favor US companies, particularly smaller businesses with attractive equity market valuations. To a certain extent, tech firms may benefit from their loyalty to Mr Trump.</w:t>
      </w:r>
    </w:p>
    <w:p w14:paraId="5BAD67E6" w14:textId="77777777" w:rsidR="00E4154A" w:rsidRPr="00E4154A" w:rsidRDefault="00E4154A" w:rsidP="00E4154A">
      <w:pPr>
        <w:pStyle w:val="PargrafodaLista"/>
        <w:numPr>
          <w:ilvl w:val="0"/>
          <w:numId w:val="26"/>
        </w:numPr>
        <w:rPr>
          <w:rFonts w:cstheme="minorHAnsi"/>
          <w:i/>
          <w:iCs/>
          <w:lang w:val="en-US"/>
        </w:rPr>
      </w:pPr>
      <w:r w:rsidRPr="00E4154A">
        <w:rPr>
          <w:rFonts w:cstheme="minorHAnsi"/>
          <w:i/>
          <w:iCs/>
          <w:lang w:val="en-US"/>
        </w:rPr>
        <w:t>While Republicans have likely won the Senate, a red sweep of Congress would enable him to push through tax cuts and higher spending – increasing the chances that credit markets are unsettled by unfunded fiscal largesse.</w:t>
      </w:r>
    </w:p>
    <w:p w14:paraId="2B7BF3BE" w14:textId="18965E53" w:rsidR="00E4154A" w:rsidRPr="00E4154A" w:rsidRDefault="00E4154A" w:rsidP="00E4154A">
      <w:pPr>
        <w:pStyle w:val="PargrafodaLista"/>
        <w:numPr>
          <w:ilvl w:val="0"/>
          <w:numId w:val="26"/>
        </w:numPr>
        <w:rPr>
          <w:rFonts w:cstheme="minorHAnsi"/>
          <w:i/>
          <w:iCs/>
          <w:lang w:val="en-US"/>
        </w:rPr>
      </w:pPr>
      <w:r w:rsidRPr="00E4154A">
        <w:rPr>
          <w:rFonts w:cstheme="minorHAnsi"/>
          <w:i/>
          <w:iCs/>
          <w:lang w:val="en-US"/>
        </w:rPr>
        <w:t>We think a Trump victory could carry more geopolitical risk than a Kamala Harris win because his geopolitical strategy involves an unpredictable approach to both his allies and foes. Expect higher trade tariffs with China and potentially some European nations.</w:t>
      </w:r>
    </w:p>
    <w:p w14:paraId="520D7BBB" w14:textId="2FACAA03" w:rsidR="00E4154A" w:rsidRPr="00E4154A" w:rsidRDefault="00E4154A" w:rsidP="00E4154A">
      <w:pPr>
        <w:pStyle w:val="PargrafodaLista"/>
        <w:numPr>
          <w:ilvl w:val="0"/>
          <w:numId w:val="26"/>
        </w:numPr>
        <w:rPr>
          <w:rFonts w:cstheme="minorHAnsi"/>
          <w:i/>
          <w:iCs/>
          <w:lang w:val="en-US"/>
        </w:rPr>
      </w:pPr>
      <w:r w:rsidRPr="00E4154A">
        <w:rPr>
          <w:rFonts w:cstheme="minorHAnsi"/>
          <w:i/>
          <w:iCs/>
          <w:lang w:val="en-US"/>
        </w:rPr>
        <w:t>Mr Trump’s likely tough stance on a range of issues ranging from trade to immigration may potentially boost the US dollar and gold. The impact on bond markets is more difficult to predict and we anticipate some volatility in equities until the results are finalized. If a Trump win is confirmed quickly, we can anticipate volatility to move lower as uncertainty is removed</w:t>
      </w:r>
      <w:r>
        <w:rPr>
          <w:rFonts w:cstheme="minorHAnsi"/>
          <w:i/>
          <w:iCs/>
          <w:lang w:val="en-US"/>
        </w:rPr>
        <w:t>.</w:t>
      </w:r>
    </w:p>
    <w:p w14:paraId="7ADAF320" w14:textId="23A8D63D" w:rsidR="00E4154A" w:rsidRPr="00E4154A" w:rsidRDefault="000771DE" w:rsidP="00E4154A">
      <w:pPr>
        <w:pStyle w:val="Ttulo2"/>
        <w:spacing w:after="240"/>
        <w:jc w:val="both"/>
        <w:rPr>
          <w:rFonts w:cs="Arial"/>
          <w:color w:val="414141" w:themeColor="background2"/>
          <w:sz w:val="20"/>
          <w:szCs w:val="20"/>
          <w:lang w:val="en-US"/>
        </w:rPr>
      </w:pPr>
      <w:r w:rsidRPr="00E4154A">
        <w:rPr>
          <w:b/>
          <w:bCs w:val="0"/>
          <w:noProof/>
          <w:sz w:val="20"/>
          <w:szCs w:val="20"/>
          <w:highlight w:val="yellow"/>
          <w:lang w:val="en-US"/>
        </w:rPr>
        <mc:AlternateContent>
          <mc:Choice Requires="wps">
            <w:drawing>
              <wp:anchor distT="0" distB="0" distL="114300" distR="114300" simplePos="0" relativeHeight="251643392" behindDoc="0" locked="1" layoutInCell="1" allowOverlap="0" wp14:anchorId="7759AF09" wp14:editId="13D12C9C">
                <wp:simplePos x="0" y="0"/>
                <wp:positionH relativeFrom="page">
                  <wp:posOffset>485140</wp:posOffset>
                </wp:positionH>
                <wp:positionV relativeFrom="page">
                  <wp:posOffset>1660525</wp:posOffset>
                </wp:positionV>
                <wp:extent cx="5442585" cy="618490"/>
                <wp:effectExtent l="0" t="0" r="5715" b="3810"/>
                <wp:wrapTopAndBottom/>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258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329A7" w14:textId="5DEE6A4E" w:rsidR="000771DE" w:rsidRPr="00BA5B98" w:rsidRDefault="00E4154A" w:rsidP="008C3486">
                            <w:pPr>
                              <w:pStyle w:val="Ttulo1"/>
                              <w:rPr>
                                <w:sz w:val="72"/>
                                <w:szCs w:val="72"/>
                                <w:lang w:val="en-US"/>
                              </w:rPr>
                            </w:pPr>
                            <w:r w:rsidRPr="00BA5B98">
                              <w:rPr>
                                <w:sz w:val="72"/>
                                <w:szCs w:val="72"/>
                                <w:lang w:val="en-US"/>
                              </w:rPr>
                              <w:t>Comment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9AF09" id="_x0000_t202" coordsize="21600,21600" o:spt="202" path="m,l,21600r21600,l21600,xe">
                <v:stroke joinstyle="miter"/>
                <v:path gradientshapeok="t" o:connecttype="rect"/>
              </v:shapetype>
              <v:shape id="Text Box 26" o:spid="_x0000_s1026" type="#_x0000_t202" style="position:absolute;left:0;text-align:left;margin-left:38.2pt;margin-top:130.75pt;width:428.55pt;height:48.7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" o:allowoverlap="f" filled="f" stroked="f">
                <v:textbox inset="0,0,0,0">
                  <w:txbxContent>
                    <w:p w14:paraId="559329A7" w14:textId="5DEE6A4E" w:rsidR="000771DE" w:rsidRPr="00BA5B98" w:rsidRDefault="00E4154A" w:rsidP="008C3486">
                      <w:pPr>
                        <w:pStyle w:val="Ttulo1"/>
                        <w:rPr>
                          <w:sz w:val="72"/>
                          <w:szCs w:val="72"/>
                          <w:lang w:val="en-US"/>
                        </w:rPr>
                      </w:pPr>
                      <w:r w:rsidRPr="00BA5B98">
                        <w:rPr>
                          <w:sz w:val="72"/>
                          <w:szCs w:val="72"/>
                          <w:lang w:val="en-US"/>
                        </w:rPr>
                        <w:t>Comment</w:t>
                      </w:r>
                    </w:p>
                  </w:txbxContent>
                </v:textbox>
                <w10:wrap type="topAndBottom" anchorx="page" anchory="page"/>
                <w10:anchorlock/>
              </v:shape>
            </w:pict>
          </mc:Fallback>
        </mc:AlternateContent>
      </w:r>
      <w:r w:rsidR="00E4154A">
        <w:rPr>
          <w:b/>
          <w:bCs w:val="0"/>
          <w:noProof/>
          <w:sz w:val="20"/>
          <w:szCs w:val="20"/>
          <w:lang w:val="en-US"/>
        </w:rPr>
        <w:t>06</w:t>
      </w:r>
      <w:r w:rsidR="008531C6" w:rsidRPr="00E4154A">
        <w:rPr>
          <w:b/>
          <w:bCs w:val="0"/>
          <w:noProof/>
          <w:sz w:val="20"/>
          <w:szCs w:val="20"/>
          <w:lang w:val="en-US"/>
        </w:rPr>
        <w:t xml:space="preserve"> </w:t>
      </w:r>
      <w:r w:rsidR="00AA2DBF" w:rsidRPr="00E4154A">
        <w:rPr>
          <w:b/>
          <w:bCs w:val="0"/>
          <w:noProof/>
          <w:sz w:val="20"/>
          <w:szCs w:val="20"/>
          <w:lang w:val="en-US"/>
        </w:rPr>
        <w:t xml:space="preserve">de </w:t>
      </w:r>
      <w:r w:rsidR="00A423B5" w:rsidRPr="00E4154A">
        <w:rPr>
          <w:b/>
          <w:bCs w:val="0"/>
          <w:noProof/>
          <w:sz w:val="20"/>
          <w:szCs w:val="20"/>
          <w:lang w:val="en-US"/>
        </w:rPr>
        <w:t>novembro</w:t>
      </w:r>
      <w:r w:rsidR="00810B4B" w:rsidRPr="00E4154A">
        <w:rPr>
          <w:b/>
          <w:bCs w:val="0"/>
          <w:noProof/>
          <w:sz w:val="20"/>
          <w:szCs w:val="20"/>
          <w:lang w:val="en-US"/>
        </w:rPr>
        <w:t xml:space="preserve"> de</w:t>
      </w:r>
      <w:r w:rsidR="003E0CB8" w:rsidRPr="00E4154A">
        <w:rPr>
          <w:b/>
          <w:bCs w:val="0"/>
          <w:sz w:val="20"/>
          <w:szCs w:val="20"/>
          <w:lang w:val="en-US"/>
        </w:rPr>
        <w:t xml:space="preserve"> 202</w:t>
      </w:r>
      <w:r w:rsidR="009B79D3" w:rsidRPr="00E4154A">
        <w:rPr>
          <w:b/>
          <w:bCs w:val="0"/>
          <w:sz w:val="20"/>
          <w:szCs w:val="20"/>
          <w:lang w:val="en-US"/>
        </w:rPr>
        <w:t>4</w:t>
      </w:r>
      <w:r w:rsidR="003E0CB8" w:rsidRPr="00E4154A">
        <w:rPr>
          <w:b/>
          <w:color w:val="auto"/>
          <w:sz w:val="20"/>
          <w:szCs w:val="20"/>
          <w:lang w:val="en-US"/>
        </w:rPr>
        <w:t xml:space="preserve"> </w:t>
      </w:r>
      <w:r w:rsidR="003E0CB8" w:rsidRPr="00E4154A">
        <w:rPr>
          <w:b/>
          <w:color w:val="414141" w:themeColor="background2"/>
          <w:sz w:val="20"/>
          <w:szCs w:val="20"/>
          <w:lang w:val="en-US"/>
        </w:rPr>
        <w:t>|</w:t>
      </w:r>
      <w:r w:rsidR="003E0CB8" w:rsidRPr="00E4154A">
        <w:rPr>
          <w:color w:val="414141" w:themeColor="background2"/>
          <w:sz w:val="20"/>
          <w:szCs w:val="20"/>
          <w:lang w:val="en-US"/>
        </w:rPr>
        <w:t xml:space="preserve"> </w:t>
      </w:r>
      <w:bookmarkStart w:id="0" w:name="_Hlk180675158"/>
      <w:r w:rsidR="00E4154A" w:rsidRPr="00E4154A">
        <w:rPr>
          <w:rFonts w:cs="Arial"/>
          <w:color w:val="414141" w:themeColor="background2"/>
          <w:sz w:val="20"/>
          <w:szCs w:val="20"/>
          <w:lang w:val="en-US"/>
        </w:rPr>
        <w:t xml:space="preserve">With </w:t>
      </w:r>
      <w:bookmarkStart w:id="1" w:name="_Hlk180679983"/>
      <w:r w:rsidR="00E4154A" w:rsidRPr="00E4154A">
        <w:rPr>
          <w:rFonts w:cs="Arial"/>
          <w:color w:val="414141" w:themeColor="background2"/>
          <w:sz w:val="20"/>
          <w:szCs w:val="20"/>
          <w:lang w:val="en-US"/>
        </w:rPr>
        <w:t>final results coming in, it looks like Donald Trump has won the 2024 US presidential race. His victory follows a fiercely contested campaign in which the candidates were polling neck and neck for much of the time.</w:t>
      </w:r>
      <w:bookmarkEnd w:id="0"/>
      <w:bookmarkEnd w:id="1"/>
      <w:r w:rsidR="00E4154A" w:rsidRPr="00E4154A">
        <w:rPr>
          <w:rFonts w:cs="Arial"/>
          <w:color w:val="414141" w:themeColor="background2"/>
          <w:sz w:val="20"/>
          <w:szCs w:val="20"/>
          <w:lang w:val="en-US"/>
        </w:rPr>
        <w:t xml:space="preserve"> The results of key congressional races could take longer to decide, with the first indications </w:t>
      </w:r>
      <w:r w:rsidR="00BA5B98" w:rsidRPr="00E4154A">
        <w:rPr>
          <w:rFonts w:cs="Arial"/>
          <w:color w:val="414141" w:themeColor="background2"/>
          <w:sz w:val="20"/>
          <w:szCs w:val="20"/>
          <w:lang w:val="en-US"/>
        </w:rPr>
        <w:t>favoring</w:t>
      </w:r>
      <w:r w:rsidR="00E4154A" w:rsidRPr="00E4154A">
        <w:rPr>
          <w:rFonts w:cs="Arial"/>
          <w:color w:val="414141" w:themeColor="background2"/>
          <w:sz w:val="20"/>
          <w:szCs w:val="20"/>
          <w:lang w:val="en-US"/>
        </w:rPr>
        <w:t xml:space="preserve"> a Republican sweep. Historically, markets have tended to perform best under a so-called divided government where no one party controls the presidency and both chambers of Congress – the House of Representatives and the Senate.</w:t>
      </w:r>
    </w:p>
    <w:p w14:paraId="7BEB8300" w14:textId="501661E7" w:rsidR="00E4154A" w:rsidRPr="00E4154A" w:rsidRDefault="00E4154A" w:rsidP="00E4154A">
      <w:pPr>
        <w:pStyle w:val="Ttulo2"/>
        <w:spacing w:after="240"/>
        <w:jc w:val="both"/>
        <w:rPr>
          <w:rFonts w:cs="Arial"/>
          <w:color w:val="414141" w:themeColor="background2"/>
          <w:sz w:val="20"/>
          <w:szCs w:val="20"/>
          <w:lang w:val="en-US"/>
        </w:rPr>
      </w:pPr>
      <w:r w:rsidRPr="00E4154A">
        <w:rPr>
          <w:rFonts w:cs="Arial"/>
          <w:color w:val="414141" w:themeColor="background2"/>
          <w:sz w:val="20"/>
          <w:szCs w:val="20"/>
          <w:lang w:val="en-US"/>
        </w:rPr>
        <w:t xml:space="preserve">Although we expect some volatility to linger until the final result is known, the margin of the win suggests risk-on sentiment may begin to take hold. We also expect some flight-to-safety response in the meantime. This would likely </w:t>
      </w:r>
      <w:r w:rsidR="00BA5B98" w:rsidRPr="00E4154A">
        <w:rPr>
          <w:rFonts w:cs="Arial"/>
          <w:color w:val="414141" w:themeColor="background2"/>
          <w:sz w:val="20"/>
          <w:szCs w:val="20"/>
          <w:lang w:val="en-US"/>
        </w:rPr>
        <w:t>favor</w:t>
      </w:r>
      <w:r w:rsidRPr="00E4154A">
        <w:rPr>
          <w:rFonts w:cs="Arial"/>
          <w:color w:val="414141" w:themeColor="background2"/>
          <w:sz w:val="20"/>
          <w:szCs w:val="20"/>
          <w:lang w:val="en-US"/>
        </w:rPr>
        <w:t xml:space="preserve"> leading perceived safe havens such as the US dollar on expectations of a stronger economy, fiscal support and taxes to more inflation, while gold could continue to be </w:t>
      </w:r>
      <w:r w:rsidR="00BA5B98" w:rsidRPr="00E4154A">
        <w:rPr>
          <w:rFonts w:cs="Arial"/>
          <w:color w:val="414141" w:themeColor="background2"/>
          <w:sz w:val="20"/>
          <w:szCs w:val="20"/>
          <w:lang w:val="en-US"/>
        </w:rPr>
        <w:t>favored</w:t>
      </w:r>
      <w:r w:rsidRPr="00E4154A">
        <w:rPr>
          <w:rFonts w:cs="Arial"/>
          <w:color w:val="414141" w:themeColor="background2"/>
          <w:sz w:val="20"/>
          <w:szCs w:val="20"/>
          <w:lang w:val="en-US"/>
        </w:rPr>
        <w:t xml:space="preserve"> as a way of hedging geopolitical risk. The response of bond markets is more difficult to predict, considering a strong rise in yields since mid-September, but in the event of a red “sweep” we would expect further consolidation in the bond market. In equities, we think smaller-cap equities are attractively valued and we maintain some open option positions in our portfolios for now in case of volatility.</w:t>
      </w:r>
    </w:p>
    <w:p w14:paraId="6262FA83" w14:textId="56545270" w:rsidR="00E4154A" w:rsidRPr="00E4154A" w:rsidRDefault="00E4154A" w:rsidP="00E4154A">
      <w:pPr>
        <w:pStyle w:val="Ttulo2"/>
        <w:spacing w:after="240"/>
        <w:jc w:val="both"/>
        <w:rPr>
          <w:rFonts w:cs="Arial"/>
          <w:color w:val="414141" w:themeColor="background2"/>
          <w:sz w:val="20"/>
          <w:szCs w:val="20"/>
          <w:lang w:val="en-US"/>
        </w:rPr>
      </w:pPr>
      <w:r w:rsidRPr="00E4154A">
        <w:rPr>
          <w:rFonts w:cs="Arial"/>
          <w:color w:val="414141" w:themeColor="background2"/>
          <w:sz w:val="20"/>
          <w:szCs w:val="20"/>
          <w:lang w:val="en-US"/>
        </w:rPr>
        <w:t>With a still-robust US economy, investors may consider using any pullback in markets as a tactical opportunity to diversify or add to risk, especially as markets usually do well post elections and end of year months are usually supportive.</w:t>
      </w:r>
    </w:p>
    <w:p w14:paraId="78A6EF26" w14:textId="77777777" w:rsidR="00E4154A" w:rsidRPr="00E4154A" w:rsidRDefault="00E4154A" w:rsidP="00E4154A">
      <w:pPr>
        <w:rPr>
          <w:b/>
          <w:bCs/>
          <w:sz w:val="24"/>
          <w:szCs w:val="24"/>
          <w:lang w:val="en-US"/>
        </w:rPr>
      </w:pPr>
      <w:r w:rsidRPr="00E4154A">
        <w:rPr>
          <w:b/>
          <w:bCs/>
          <w:sz w:val="24"/>
          <w:szCs w:val="24"/>
          <w:lang w:val="en-US"/>
        </w:rPr>
        <w:t xml:space="preserve">What the result could mean  </w:t>
      </w:r>
    </w:p>
    <w:p w14:paraId="24B9587E" w14:textId="57B29264" w:rsidR="00E4154A" w:rsidRPr="00E4154A" w:rsidRDefault="00E4154A" w:rsidP="00E4154A">
      <w:pPr>
        <w:rPr>
          <w:lang w:val="en-US"/>
        </w:rPr>
      </w:pPr>
      <w:r w:rsidRPr="00E4154A">
        <w:rPr>
          <w:lang w:val="en-US"/>
        </w:rPr>
        <w:t xml:space="preserve">Our analysis of Mr Trump’s plans explores the potential market implications across various key policy areas:  </w:t>
      </w:r>
    </w:p>
    <w:p w14:paraId="5D1FA10C" w14:textId="77777777" w:rsidR="00E4154A" w:rsidRPr="00E4154A" w:rsidRDefault="00E4154A" w:rsidP="00E4154A">
      <w:pPr>
        <w:rPr>
          <w:rFonts w:cs="Arial"/>
          <w:b/>
          <w:bCs/>
          <w:lang w:val="en-US"/>
        </w:rPr>
      </w:pPr>
    </w:p>
    <w:p w14:paraId="32EE0B00" w14:textId="77777777" w:rsidR="00E4154A" w:rsidRPr="00E4154A" w:rsidRDefault="00E4154A" w:rsidP="00E4154A">
      <w:pPr>
        <w:rPr>
          <w:rFonts w:cs="Arial"/>
          <w:b/>
          <w:bCs/>
          <w:lang w:val="en-US"/>
        </w:rPr>
      </w:pPr>
    </w:p>
    <w:p w14:paraId="6169563D" w14:textId="21722479" w:rsidR="00E4154A" w:rsidRPr="00E4154A" w:rsidRDefault="00E4154A" w:rsidP="00E4154A">
      <w:pPr>
        <w:rPr>
          <w:rFonts w:cs="Arial"/>
          <w:b/>
          <w:bCs/>
          <w:lang w:val="en-US"/>
        </w:rPr>
      </w:pPr>
      <w:r w:rsidRPr="00E4154A">
        <w:rPr>
          <w:rFonts w:cs="Arial"/>
          <w:b/>
          <w:bCs/>
          <w:lang w:val="en-US"/>
        </w:rPr>
        <w:lastRenderedPageBreak/>
        <w:t>Fiscal plans: tax cuts extended?</w:t>
      </w:r>
    </w:p>
    <w:p w14:paraId="211E576D" w14:textId="77777777" w:rsidR="00E4154A" w:rsidRPr="00E4154A" w:rsidRDefault="00E4154A" w:rsidP="00E4154A">
      <w:pPr>
        <w:pStyle w:val="PargrafodaLista"/>
        <w:numPr>
          <w:ilvl w:val="0"/>
          <w:numId w:val="28"/>
        </w:numPr>
        <w:spacing w:after="160" w:line="259" w:lineRule="auto"/>
        <w:rPr>
          <w:rFonts w:cs="Arial"/>
          <w:lang w:val="en-US"/>
        </w:rPr>
      </w:pPr>
      <w:bookmarkStart w:id="2" w:name="_Hlk181355595"/>
      <w:r w:rsidRPr="00E4154A">
        <w:rPr>
          <w:rFonts w:cs="Arial"/>
          <w:lang w:val="en-US"/>
        </w:rPr>
        <w:t>Mr Trump is promising lavish spending, big tax cuts and deregulation. His proposals could boost near-term growth as well as US company earnings, particularly US small caps and the energy and financial sectors. These plans could also raise US government debt by USD 7.5 trillion by 2035, according to the Committee for a Responsible Federal Budget at a time when US national debt-to-GDP is already more than 120%.</w:t>
      </w:r>
    </w:p>
    <w:p w14:paraId="240CAE57" w14:textId="77777777" w:rsidR="00E4154A" w:rsidRPr="00E4154A" w:rsidRDefault="00E4154A" w:rsidP="00E4154A">
      <w:pPr>
        <w:pStyle w:val="PargrafodaLista"/>
        <w:numPr>
          <w:ilvl w:val="0"/>
          <w:numId w:val="28"/>
        </w:numPr>
        <w:spacing w:after="160" w:line="259" w:lineRule="auto"/>
        <w:rPr>
          <w:rFonts w:cs="Arial"/>
          <w:lang w:val="en-US"/>
        </w:rPr>
      </w:pPr>
      <w:r w:rsidRPr="00E4154A">
        <w:rPr>
          <w:rFonts w:cs="Arial"/>
          <w:lang w:val="en-US"/>
        </w:rPr>
        <w:t>We see potential for credit markets taking fright at unfunded fiscal plans if Republicans gain control of Congress (a red sweep). We think the dollar’s status as a funding and trade currency offers the US some protection from any negative market reaction to fiscal stimulus.</w:t>
      </w:r>
    </w:p>
    <w:p w14:paraId="15890CDC" w14:textId="77777777" w:rsidR="00E4154A" w:rsidRPr="00E4154A" w:rsidRDefault="00E4154A" w:rsidP="00E4154A">
      <w:pPr>
        <w:pStyle w:val="PargrafodaLista"/>
        <w:numPr>
          <w:ilvl w:val="0"/>
          <w:numId w:val="28"/>
        </w:numPr>
        <w:spacing w:after="160" w:line="259" w:lineRule="auto"/>
        <w:rPr>
          <w:rFonts w:cs="Arial"/>
          <w:lang w:val="en-US"/>
        </w:rPr>
      </w:pPr>
      <w:r w:rsidRPr="00E4154A">
        <w:rPr>
          <w:rFonts w:cs="Arial"/>
          <w:lang w:val="en-US"/>
        </w:rPr>
        <w:t>Fiscal largesse – together with higher tariffs, tougher immigration policy and looser regulations – tends to be inflationary. In response, the US Federal Reserve may moderate its easing cycle, potentially supporting the dollar.</w:t>
      </w:r>
    </w:p>
    <w:bookmarkEnd w:id="2"/>
    <w:p w14:paraId="4E1B33C0" w14:textId="77777777" w:rsidR="00E4154A" w:rsidRPr="00E4154A" w:rsidRDefault="00E4154A" w:rsidP="00E4154A">
      <w:pPr>
        <w:rPr>
          <w:rFonts w:cs="Arial"/>
          <w:b/>
          <w:bCs/>
          <w:lang w:val="en-US"/>
        </w:rPr>
      </w:pPr>
      <w:r w:rsidRPr="00E4154A">
        <w:rPr>
          <w:rFonts w:cs="Arial"/>
          <w:b/>
          <w:bCs/>
          <w:lang w:val="en-US"/>
        </w:rPr>
        <w:t>Tariffs and trade policy: negotiating tactic or reality?</w:t>
      </w:r>
    </w:p>
    <w:p w14:paraId="049D28C4" w14:textId="4FDF0A04" w:rsidR="00E4154A" w:rsidRPr="00E4154A" w:rsidRDefault="00E4154A" w:rsidP="00E4154A">
      <w:pPr>
        <w:pStyle w:val="PargrafodaLista"/>
        <w:numPr>
          <w:ilvl w:val="0"/>
          <w:numId w:val="29"/>
        </w:numPr>
        <w:spacing w:after="160" w:line="259" w:lineRule="auto"/>
        <w:rPr>
          <w:rFonts w:cs="Arial"/>
          <w:lang w:val="en-US"/>
        </w:rPr>
      </w:pPr>
      <w:bookmarkStart w:id="3" w:name="_Hlk180682274"/>
      <w:r w:rsidRPr="00E4154A">
        <w:rPr>
          <w:rFonts w:cs="Arial"/>
          <w:lang w:val="en-US"/>
        </w:rPr>
        <w:t xml:space="preserve">Mr Trump has pledged to impose a 20% blanket levy on all US imports, plus a 60-100% tax on Chinese products. If the tariff hikes </w:t>
      </w:r>
      <w:r w:rsidR="00BA5B98" w:rsidRPr="00E4154A">
        <w:rPr>
          <w:rFonts w:cs="Arial"/>
          <w:lang w:val="en-US"/>
        </w:rPr>
        <w:t>materialize</w:t>
      </w:r>
      <w:r w:rsidRPr="00E4154A">
        <w:rPr>
          <w:rFonts w:cs="Arial"/>
          <w:lang w:val="en-US"/>
        </w:rPr>
        <w:t>, they could trigger retaliation by other economies, leading to a trade war, which in a worst-case scenario could push the US into a recession.</w:t>
      </w:r>
    </w:p>
    <w:p w14:paraId="1C319CC8" w14:textId="77777777" w:rsidR="00E4154A" w:rsidRPr="00E4154A" w:rsidRDefault="00E4154A" w:rsidP="00E4154A">
      <w:pPr>
        <w:pStyle w:val="PargrafodaLista"/>
        <w:numPr>
          <w:ilvl w:val="0"/>
          <w:numId w:val="29"/>
        </w:numPr>
        <w:spacing w:after="160" w:line="259" w:lineRule="auto"/>
        <w:rPr>
          <w:rFonts w:cs="Arial"/>
          <w:lang w:val="en-US"/>
        </w:rPr>
      </w:pPr>
      <w:r w:rsidRPr="00E4154A">
        <w:rPr>
          <w:rFonts w:cs="Arial"/>
          <w:lang w:val="en-US"/>
        </w:rPr>
        <w:t xml:space="preserve">We foresee more regional nearshoring and onshoring as companies diversify their manufacturing bases and supply chains – a move that could strain balance sheets. </w:t>
      </w:r>
    </w:p>
    <w:p w14:paraId="36585343" w14:textId="77777777" w:rsidR="00E4154A" w:rsidRPr="00E4154A" w:rsidRDefault="00E4154A" w:rsidP="00E4154A">
      <w:pPr>
        <w:pStyle w:val="PargrafodaLista"/>
        <w:numPr>
          <w:ilvl w:val="0"/>
          <w:numId w:val="29"/>
        </w:numPr>
        <w:spacing w:after="160" w:line="259" w:lineRule="auto"/>
        <w:rPr>
          <w:rFonts w:cs="Arial"/>
          <w:lang w:val="en-US"/>
        </w:rPr>
      </w:pPr>
      <w:r w:rsidRPr="00E4154A">
        <w:rPr>
          <w:rFonts w:cs="Arial"/>
          <w:lang w:val="en-US"/>
        </w:rPr>
        <w:t>Higher tariffs could hit European and emerging market stocks, particularly those reliant on the US market, such as makers of luxury goods, cars, aircraft producers and steel companies. Value stocks within oil, finance and potentially infrastructure could benefit in such a scenario. Navigating potentially wide disparities in performance between winners and losers within sectors and themes and between regions will require active investment management.</w:t>
      </w:r>
      <w:bookmarkEnd w:id="3"/>
    </w:p>
    <w:p w14:paraId="25BFF6AE" w14:textId="77777777" w:rsidR="00E4154A" w:rsidRPr="00E4154A" w:rsidRDefault="00E4154A" w:rsidP="00E4154A">
      <w:pPr>
        <w:rPr>
          <w:rFonts w:cs="Arial"/>
          <w:b/>
          <w:bCs/>
          <w:lang w:val="en-US"/>
        </w:rPr>
      </w:pPr>
      <w:r w:rsidRPr="00E4154A">
        <w:rPr>
          <w:rFonts w:cs="Arial"/>
          <w:b/>
          <w:bCs/>
          <w:lang w:val="en-US"/>
        </w:rPr>
        <w:t>Geopolitics: return of the “dealmaker”</w:t>
      </w:r>
    </w:p>
    <w:p w14:paraId="50672715" w14:textId="77777777" w:rsidR="00E4154A" w:rsidRPr="00E4154A" w:rsidRDefault="00E4154A" w:rsidP="00E4154A">
      <w:pPr>
        <w:pStyle w:val="PargrafodaLista"/>
        <w:numPr>
          <w:ilvl w:val="0"/>
          <w:numId w:val="30"/>
        </w:numPr>
        <w:spacing w:after="160" w:line="259" w:lineRule="auto"/>
        <w:rPr>
          <w:rFonts w:cs="Arial"/>
          <w:lang w:val="en-US"/>
        </w:rPr>
      </w:pPr>
      <w:r w:rsidRPr="00E4154A">
        <w:rPr>
          <w:rFonts w:cs="Arial"/>
          <w:lang w:val="en-US"/>
        </w:rPr>
        <w:t>The geopolitical backdrop is likely to shift markedly under Mr Trump. As well as a more aggressive approach to China, we anticipate a higher probability of a military confrontation with Iran and a potential escalation in the Middle East conflict.</w:t>
      </w:r>
    </w:p>
    <w:p w14:paraId="20534179" w14:textId="77777777" w:rsidR="00E4154A" w:rsidRPr="00E4154A" w:rsidRDefault="00E4154A" w:rsidP="00E4154A">
      <w:pPr>
        <w:pStyle w:val="PargrafodaLista"/>
        <w:numPr>
          <w:ilvl w:val="0"/>
          <w:numId w:val="30"/>
        </w:numPr>
        <w:spacing w:after="160" w:line="259" w:lineRule="auto"/>
        <w:rPr>
          <w:rFonts w:cs="Arial"/>
          <w:lang w:val="en-US"/>
        </w:rPr>
      </w:pPr>
      <w:r w:rsidRPr="00E4154A">
        <w:rPr>
          <w:rFonts w:cs="Arial"/>
          <w:lang w:val="en-US"/>
        </w:rPr>
        <w:t>In contrast, there may be a quicker end to the Ukraine war if Mr Trump pushes for a deal with Russian president Vladimir Putin. An end to that conflict could lead to lower commodity prices if Russia officially re-enters the market. Europe would have to beef up its military spending, leading to higher debt and less productive fiscal expenditure.</w:t>
      </w:r>
    </w:p>
    <w:p w14:paraId="35038790" w14:textId="77777777" w:rsidR="00E4154A" w:rsidRPr="00E4154A" w:rsidRDefault="00E4154A" w:rsidP="00E4154A">
      <w:pPr>
        <w:pStyle w:val="PargrafodaLista"/>
        <w:numPr>
          <w:ilvl w:val="0"/>
          <w:numId w:val="30"/>
        </w:numPr>
        <w:spacing w:after="160" w:line="259" w:lineRule="auto"/>
        <w:rPr>
          <w:rFonts w:cs="Arial"/>
          <w:b/>
          <w:bCs/>
          <w:lang w:val="en-US"/>
        </w:rPr>
      </w:pPr>
      <w:r w:rsidRPr="00E4154A">
        <w:rPr>
          <w:rFonts w:cs="Arial"/>
          <w:lang w:val="en-US"/>
        </w:rPr>
        <w:t>We also expect more tensions with some European countries, with potential tax increases on imports which could weigh on European growth.</w:t>
      </w:r>
    </w:p>
    <w:p w14:paraId="0666FE32" w14:textId="77777777" w:rsidR="00E4154A" w:rsidRPr="00E4154A" w:rsidRDefault="00E4154A" w:rsidP="00E4154A">
      <w:pPr>
        <w:rPr>
          <w:rFonts w:cs="Arial"/>
          <w:b/>
          <w:bCs/>
          <w:lang w:val="en-US"/>
        </w:rPr>
      </w:pPr>
      <w:r w:rsidRPr="00E4154A">
        <w:rPr>
          <w:rFonts w:cs="Arial"/>
          <w:b/>
          <w:bCs/>
          <w:lang w:val="en-US"/>
        </w:rPr>
        <w:t>Monetary policy: staying independent?</w:t>
      </w:r>
    </w:p>
    <w:p w14:paraId="383288F3" w14:textId="445152A2" w:rsidR="00E4154A" w:rsidRPr="00E4154A" w:rsidRDefault="00E4154A" w:rsidP="00E4154A">
      <w:pPr>
        <w:pStyle w:val="PargrafodaLista"/>
        <w:numPr>
          <w:ilvl w:val="0"/>
          <w:numId w:val="31"/>
        </w:numPr>
        <w:spacing w:after="160" w:line="259" w:lineRule="auto"/>
        <w:rPr>
          <w:rFonts w:cs="Arial"/>
          <w:lang w:val="en-US"/>
        </w:rPr>
      </w:pPr>
      <w:r w:rsidRPr="00E4154A">
        <w:rPr>
          <w:rFonts w:cs="Arial"/>
          <w:lang w:val="en-US"/>
        </w:rPr>
        <w:t>We see the potential for market anxiety if Mr Trump seeks to undermine the independence of the US central bank even simply in the form of comments. Any sustained attack on the Fed could accelerate the de-</w:t>
      </w:r>
      <w:r w:rsidR="00BA5B98" w:rsidRPr="00E4154A">
        <w:rPr>
          <w:rFonts w:cs="Arial"/>
          <w:lang w:val="en-US"/>
        </w:rPr>
        <w:t>dollarization</w:t>
      </w:r>
      <w:r w:rsidRPr="00E4154A">
        <w:rPr>
          <w:rFonts w:cs="Arial"/>
          <w:lang w:val="en-US"/>
        </w:rPr>
        <w:t xml:space="preserve"> trend. The US risk premium could also increase as the supply of new US Treasury issuance sold internationally starts coming under pressure.</w:t>
      </w:r>
    </w:p>
    <w:p w14:paraId="05BCA261" w14:textId="77777777" w:rsidR="00E4154A" w:rsidRPr="00E4154A" w:rsidRDefault="00E4154A" w:rsidP="00E4154A">
      <w:pPr>
        <w:pStyle w:val="PargrafodaLista"/>
        <w:numPr>
          <w:ilvl w:val="0"/>
          <w:numId w:val="31"/>
        </w:numPr>
        <w:spacing w:after="160" w:line="259" w:lineRule="auto"/>
        <w:rPr>
          <w:rFonts w:cs="Arial"/>
          <w:lang w:val="en-US"/>
        </w:rPr>
      </w:pPr>
      <w:r w:rsidRPr="00E4154A">
        <w:rPr>
          <w:rFonts w:cs="Arial"/>
          <w:lang w:val="en-US"/>
        </w:rPr>
        <w:t>Safe havens such as gold and traditionally defensive currencies, including the Swiss franc and Japanese yen, could profit.</w:t>
      </w:r>
    </w:p>
    <w:p w14:paraId="30AE1D62" w14:textId="77777777" w:rsidR="00E4154A" w:rsidRPr="00E4154A" w:rsidRDefault="00E4154A" w:rsidP="00E4154A">
      <w:pPr>
        <w:pStyle w:val="PargrafodaLista"/>
        <w:numPr>
          <w:ilvl w:val="0"/>
          <w:numId w:val="31"/>
        </w:numPr>
        <w:spacing w:after="160" w:line="259" w:lineRule="auto"/>
        <w:rPr>
          <w:rFonts w:cs="Arial"/>
          <w:lang w:val="en-US"/>
        </w:rPr>
      </w:pPr>
      <w:r w:rsidRPr="00E4154A">
        <w:rPr>
          <w:rFonts w:cs="Arial"/>
          <w:lang w:val="en-US"/>
        </w:rPr>
        <w:t xml:space="preserve">For US Treasuries, we think the impact may be felt more on short-term rates than long-term rates. A narrower spread between US yields and the rest of the world could dampen the US dollar, while equities and commodities may benefit from the prospect of monetary stimulus. </w:t>
      </w:r>
    </w:p>
    <w:p w14:paraId="714D4DD3" w14:textId="77777777" w:rsidR="00E4154A" w:rsidRPr="00E4154A" w:rsidRDefault="00E4154A" w:rsidP="00E4154A">
      <w:pPr>
        <w:rPr>
          <w:rFonts w:cs="Arial"/>
          <w:b/>
          <w:bCs/>
          <w:lang w:val="en-US"/>
        </w:rPr>
      </w:pPr>
      <w:r w:rsidRPr="00E4154A">
        <w:rPr>
          <w:rFonts w:cs="Arial"/>
          <w:b/>
          <w:bCs/>
          <w:lang w:val="en-US"/>
        </w:rPr>
        <w:t>Climate policy: commitments diluted?</w:t>
      </w:r>
    </w:p>
    <w:p w14:paraId="3DAF8739" w14:textId="77777777" w:rsidR="00E4154A" w:rsidRPr="00E4154A" w:rsidRDefault="00E4154A" w:rsidP="00E4154A">
      <w:pPr>
        <w:pStyle w:val="PargrafodaLista"/>
        <w:numPr>
          <w:ilvl w:val="0"/>
          <w:numId w:val="32"/>
        </w:numPr>
        <w:spacing w:after="160" w:line="259" w:lineRule="auto"/>
        <w:rPr>
          <w:rFonts w:cs="Arial"/>
          <w:lang w:val="en-US"/>
        </w:rPr>
      </w:pPr>
      <w:r w:rsidRPr="00E4154A">
        <w:rPr>
          <w:rFonts w:cs="Arial"/>
          <w:lang w:val="en-US"/>
        </w:rPr>
        <w:lastRenderedPageBreak/>
        <w:t>Any slowing in the US commitment to climate change mitigation under a Trump presidency may boost China’s drive to become a global leader in climate technologies. Stock markets are also pricing in a dilution of President Biden’s flagship Inflation Reduction Act, which included sizeable investments in clean energy.</w:t>
      </w:r>
    </w:p>
    <w:p w14:paraId="11E35B05" w14:textId="77777777" w:rsidR="00E4154A" w:rsidRPr="00E4154A" w:rsidRDefault="00E4154A" w:rsidP="00E4154A">
      <w:pPr>
        <w:pStyle w:val="PargrafodaLista"/>
        <w:numPr>
          <w:ilvl w:val="0"/>
          <w:numId w:val="32"/>
        </w:numPr>
        <w:spacing w:after="160" w:line="259" w:lineRule="auto"/>
        <w:rPr>
          <w:rFonts w:cs="Arial"/>
          <w:lang w:val="en-US"/>
        </w:rPr>
      </w:pPr>
      <w:r w:rsidRPr="00E4154A">
        <w:rPr>
          <w:rFonts w:cs="Arial"/>
          <w:lang w:val="en-US"/>
        </w:rPr>
        <w:t>With many Republican states also profiting from this spending, we expect only moderate impact and consider a repeal of the act as only likely in the case of a red sweep. Any reversal of the act could harm the renewables sector, including international companies exposed to the US renewables market.</w:t>
      </w:r>
    </w:p>
    <w:p w14:paraId="38D827C1" w14:textId="77777777" w:rsidR="00E4154A" w:rsidRPr="00E4154A" w:rsidRDefault="00E4154A" w:rsidP="00E4154A">
      <w:pPr>
        <w:rPr>
          <w:rFonts w:cs="Arial"/>
          <w:b/>
          <w:bCs/>
          <w:sz w:val="24"/>
          <w:szCs w:val="24"/>
          <w:lang w:val="en-US"/>
        </w:rPr>
      </w:pPr>
      <w:r w:rsidRPr="00E4154A">
        <w:rPr>
          <w:rFonts w:cs="Arial"/>
          <w:b/>
          <w:bCs/>
          <w:sz w:val="24"/>
          <w:szCs w:val="24"/>
          <w:lang w:val="en-US"/>
        </w:rPr>
        <w:t>Focus on market opportunities through election volatility</w:t>
      </w:r>
    </w:p>
    <w:p w14:paraId="5779F1C7" w14:textId="77777777" w:rsidR="00E4154A" w:rsidRPr="00E4154A" w:rsidRDefault="00E4154A" w:rsidP="00E4154A">
      <w:pPr>
        <w:rPr>
          <w:rFonts w:cs="Arial"/>
          <w:lang w:val="en-US"/>
        </w:rPr>
      </w:pPr>
      <w:r w:rsidRPr="00E4154A">
        <w:rPr>
          <w:rFonts w:cs="Arial"/>
          <w:lang w:val="en-US"/>
        </w:rPr>
        <w:t xml:space="preserve">Already buoyed in recent months by the taming of inflation and the increasing likelihood of a soft landing for the US economy, markets will want to see a swift election outcome. The S&amp;P 500 usually rises after US election risks pass in the absence of a recession – and we anticipate a similar trend this time. </w:t>
      </w:r>
    </w:p>
    <w:p w14:paraId="7C3D30E3" w14:textId="77777777" w:rsidR="00E4154A" w:rsidRPr="00E4154A" w:rsidRDefault="00E4154A" w:rsidP="00E4154A">
      <w:pPr>
        <w:rPr>
          <w:rFonts w:cs="Arial"/>
          <w:lang w:val="en-US"/>
        </w:rPr>
      </w:pPr>
      <w:r w:rsidRPr="00E4154A">
        <w:rPr>
          <w:rFonts w:cs="Arial"/>
          <w:lang w:val="en-US"/>
        </w:rPr>
        <w:t>In the current environment, we see several opportunities to consider:</w:t>
      </w:r>
    </w:p>
    <w:p w14:paraId="52896D40" w14:textId="572EA9CE" w:rsidR="00E4154A" w:rsidRPr="00E4154A" w:rsidRDefault="00E4154A" w:rsidP="00E4154A">
      <w:pPr>
        <w:pStyle w:val="PargrafodaLista"/>
        <w:numPr>
          <w:ilvl w:val="0"/>
          <w:numId w:val="27"/>
        </w:numPr>
        <w:spacing w:after="160" w:line="259" w:lineRule="auto"/>
        <w:rPr>
          <w:rFonts w:cs="Arial"/>
          <w:lang w:val="en-US"/>
        </w:rPr>
      </w:pPr>
      <w:bookmarkStart w:id="4" w:name="_Hlk181359087"/>
      <w:r w:rsidRPr="00E4154A">
        <w:rPr>
          <w:rFonts w:cs="Arial"/>
          <w:lang w:val="en-US"/>
        </w:rPr>
        <w:t xml:space="preserve">We see scope for broader participation in the Magnificent Seven’s recent stellar run if the US economy achieves a soft landing. </w:t>
      </w:r>
      <w:bookmarkEnd w:id="4"/>
      <w:r w:rsidRPr="00E4154A">
        <w:rPr>
          <w:rFonts w:cs="Arial"/>
          <w:lang w:val="en-US"/>
        </w:rPr>
        <w:t xml:space="preserve">US equity market concentration has been at its highest level for decades and an equal-weighted investment approach – giving the same importance to each stock in a portfolio regardless of its market </w:t>
      </w:r>
      <w:r w:rsidR="00BA5B98" w:rsidRPr="00E4154A">
        <w:rPr>
          <w:rFonts w:cs="Arial"/>
          <w:lang w:val="en-US"/>
        </w:rPr>
        <w:t>capitalization</w:t>
      </w:r>
      <w:r w:rsidRPr="00E4154A">
        <w:rPr>
          <w:rFonts w:cs="Arial"/>
          <w:lang w:val="en-US"/>
        </w:rPr>
        <w:t xml:space="preserve"> – can offer diversification and rewards if positive earnings lead to a convergence in valuations. A Trump presidency with a more laissez-faire approach could boost the M&amp;A market, benefiting smaller cap technology stocks.</w:t>
      </w:r>
    </w:p>
    <w:p w14:paraId="7D310298" w14:textId="77777777" w:rsidR="00E4154A" w:rsidRPr="00E4154A" w:rsidRDefault="00E4154A" w:rsidP="00E4154A">
      <w:pPr>
        <w:pStyle w:val="PargrafodaLista"/>
        <w:numPr>
          <w:ilvl w:val="0"/>
          <w:numId w:val="27"/>
        </w:numPr>
        <w:spacing w:after="160" w:line="259" w:lineRule="auto"/>
        <w:rPr>
          <w:rFonts w:cs="Arial"/>
          <w:lang w:val="en-US"/>
        </w:rPr>
      </w:pPr>
      <w:r w:rsidRPr="00E4154A">
        <w:rPr>
          <w:rFonts w:cs="Arial"/>
          <w:lang w:val="en-US"/>
        </w:rPr>
        <w:t>After powering to new heights over the past year, we think gold prices may have further to run, supported by strong buying from retail and emerging market central bank demand in an environment of elevated geopolitical risk. A ratcheting of tariffs – raising the risk of a trade war – could also be supportive for gold.</w:t>
      </w:r>
    </w:p>
    <w:p w14:paraId="5C3D72F5" w14:textId="77FC2245" w:rsidR="00E4154A" w:rsidRPr="00E4154A" w:rsidRDefault="00E4154A" w:rsidP="00E4154A">
      <w:pPr>
        <w:pStyle w:val="PargrafodaLista"/>
        <w:numPr>
          <w:ilvl w:val="0"/>
          <w:numId w:val="27"/>
        </w:numPr>
        <w:spacing w:after="160" w:line="259" w:lineRule="auto"/>
        <w:rPr>
          <w:rFonts w:cs="Arial"/>
          <w:lang w:val="en-US"/>
        </w:rPr>
      </w:pPr>
      <w:r w:rsidRPr="00E4154A">
        <w:rPr>
          <w:rFonts w:cs="Arial"/>
          <w:lang w:val="en-US"/>
        </w:rPr>
        <w:t xml:space="preserve">We are more cautious on fixed income compared to previous months as we foresee US growth being supported by further fiscal expansion. Larger fiscal deficits would present upside risks for term premia in longer-dated bonds, </w:t>
      </w:r>
      <w:r w:rsidR="00BA5B98" w:rsidRPr="00E4154A">
        <w:rPr>
          <w:rFonts w:cs="Arial"/>
          <w:lang w:val="en-US"/>
        </w:rPr>
        <w:t>favoring</w:t>
      </w:r>
      <w:r w:rsidRPr="00E4154A">
        <w:rPr>
          <w:rFonts w:cs="Arial"/>
          <w:lang w:val="en-US"/>
        </w:rPr>
        <w:t xml:space="preserve"> a bear steepening of the US yield curve, although the increased risk of higher tariffs could also see the market price a less dovish Fed policy stance ahead. The US dollar would also likely strengthen in this scenario. Bond market volatility may well remain elevated in the near term as the market digests the make-up of the new Congress, so we think tactically trading duration would be wise.</w:t>
      </w:r>
    </w:p>
    <w:p w14:paraId="3C7016DE" w14:textId="21D73274" w:rsidR="00E4154A" w:rsidRPr="00E4154A" w:rsidRDefault="00E4154A" w:rsidP="00E4154A">
      <w:pPr>
        <w:pStyle w:val="PargrafodaLista"/>
        <w:numPr>
          <w:ilvl w:val="0"/>
          <w:numId w:val="27"/>
        </w:numPr>
        <w:spacing w:after="160" w:line="259" w:lineRule="auto"/>
        <w:rPr>
          <w:rFonts w:cs="Arial"/>
          <w:lang w:val="en-US"/>
        </w:rPr>
      </w:pPr>
      <w:r w:rsidRPr="00E4154A">
        <w:rPr>
          <w:rFonts w:cs="Arial"/>
          <w:lang w:val="en-US"/>
        </w:rPr>
        <w:t xml:space="preserve">Outside the US, we see value in the UK where election risk has passed, </w:t>
      </w:r>
      <w:r w:rsidR="00BA5B98" w:rsidRPr="00E4154A">
        <w:rPr>
          <w:rFonts w:cs="Arial"/>
          <w:lang w:val="en-US"/>
        </w:rPr>
        <w:t>favoring</w:t>
      </w:r>
      <w:r w:rsidRPr="00E4154A">
        <w:rPr>
          <w:rFonts w:cs="Arial"/>
          <w:lang w:val="en-US"/>
        </w:rPr>
        <w:t xml:space="preserve"> UK Gilts for their high-quality duration. We have become more constructive on emerging market hard currency bonds.</w:t>
      </w:r>
    </w:p>
    <w:p w14:paraId="332A11C6" w14:textId="2E3B291D" w:rsidR="00E4154A" w:rsidRPr="00E4154A" w:rsidRDefault="00E4154A" w:rsidP="00E4154A">
      <w:pPr>
        <w:pStyle w:val="PargrafodaLista"/>
        <w:numPr>
          <w:ilvl w:val="0"/>
          <w:numId w:val="27"/>
        </w:numPr>
        <w:spacing w:after="160" w:line="259" w:lineRule="auto"/>
        <w:rPr>
          <w:rFonts w:cs="Arial"/>
          <w:lang w:val="en-US"/>
        </w:rPr>
      </w:pPr>
      <w:bookmarkStart w:id="5" w:name="_Hlk181359244"/>
      <w:r w:rsidRPr="00E4154A">
        <w:rPr>
          <w:rFonts w:cs="Arial"/>
          <w:lang w:val="en-US"/>
        </w:rPr>
        <w:t xml:space="preserve">Finally, if the independence of the Fed is undermined under a Trump presidency in a way that spooks investors, they may </w:t>
      </w:r>
      <w:r w:rsidR="00BA5B98" w:rsidRPr="00E4154A">
        <w:rPr>
          <w:rFonts w:cs="Arial"/>
          <w:lang w:val="en-US"/>
        </w:rPr>
        <w:t>favor</w:t>
      </w:r>
      <w:r w:rsidRPr="00E4154A">
        <w:rPr>
          <w:rFonts w:cs="Arial"/>
          <w:lang w:val="en-US"/>
        </w:rPr>
        <w:t xml:space="preserve"> other safe-haven currencies like the Japanese yen and the Swiss franc over the US dollar.</w:t>
      </w:r>
    </w:p>
    <w:bookmarkEnd w:id="5"/>
    <w:p w14:paraId="6FF8AB93" w14:textId="77777777" w:rsidR="00E4154A" w:rsidRPr="00E4154A" w:rsidRDefault="00E4154A" w:rsidP="00E4154A">
      <w:pPr>
        <w:rPr>
          <w:rFonts w:cs="Arial"/>
          <w:lang w:val="en-US"/>
        </w:rPr>
      </w:pPr>
      <w:r w:rsidRPr="00E4154A">
        <w:rPr>
          <w:rFonts w:cs="Arial"/>
          <w:lang w:val="en-US"/>
        </w:rPr>
        <w:t>Some investors stay on the sidelines during elections. However, now that the results are known, markets are likely to return their focus to the economy and the path of interest rates. This means for most investors the important thing is to look through any volatility and stay invested and diversified, rebalancing where appropriate.</w:t>
      </w:r>
    </w:p>
    <w:p w14:paraId="7D9F8EC9" w14:textId="77777777" w:rsidR="00E4154A" w:rsidRPr="00BA5B98" w:rsidRDefault="00E4154A" w:rsidP="00BA5B98">
      <w:pPr>
        <w:spacing w:after="120" w:line="240" w:lineRule="auto"/>
        <w:rPr>
          <w:rFonts w:cs="Arial"/>
          <w:sz w:val="11"/>
          <w:szCs w:val="11"/>
          <w:lang w:val="en-US"/>
        </w:rPr>
      </w:pPr>
    </w:p>
    <w:p w14:paraId="3BA7A50C" w14:textId="11442080" w:rsidR="00E4154A" w:rsidRPr="00BA5B98" w:rsidRDefault="00E4154A" w:rsidP="00BA5B98">
      <w:pPr>
        <w:spacing w:after="120" w:line="240" w:lineRule="auto"/>
        <w:rPr>
          <w:rFonts w:cs="Arial"/>
          <w:sz w:val="11"/>
          <w:szCs w:val="11"/>
          <w:lang w:val="en-US"/>
        </w:rPr>
      </w:pPr>
      <w:r w:rsidRPr="00BA5B98">
        <w:rPr>
          <w:rFonts w:cs="Arial"/>
          <w:b/>
          <w:bCs/>
          <w:sz w:val="11"/>
          <w:szCs w:val="11"/>
          <w:lang w:val="en-US"/>
        </w:rPr>
        <w:t xml:space="preserve">Investing involves risk. </w:t>
      </w:r>
      <w:r w:rsidRPr="00BA5B98">
        <w:rPr>
          <w:rFonts w:cs="Arial"/>
          <w:sz w:val="11"/>
          <w:szCs w:val="11"/>
          <w:lang w:val="en-US"/>
        </w:rPr>
        <w:t>The value of an investment and the income from it will fluctuate and investors may not get back  the principal invested. Past performance is not indicative of future performance. This is a marketing communication. It is for informational purposes only. This document does not constitute investment advice or a recommendation to buy, sell or hold any security and shall not be deemed an offer to sell or a solicitation of an offer to buy any security.</w:t>
      </w:r>
    </w:p>
    <w:p w14:paraId="29738DFC" w14:textId="77777777" w:rsidR="00E4154A" w:rsidRPr="00BA5B98" w:rsidRDefault="00E4154A" w:rsidP="00BA5B98">
      <w:pPr>
        <w:spacing w:after="120" w:line="240" w:lineRule="auto"/>
        <w:rPr>
          <w:rFonts w:cs="Arial"/>
          <w:sz w:val="11"/>
          <w:szCs w:val="11"/>
          <w:lang w:val="en-US"/>
        </w:rPr>
      </w:pPr>
      <w:r w:rsidRPr="00BA5B98">
        <w:rPr>
          <w:rFonts w:cs="Arial"/>
          <w:sz w:val="11"/>
          <w:szCs w:val="11"/>
          <w:lang w:val="en-US"/>
        </w:rPr>
        <w:t>The views and opinions expressed herein, which are subject to change without notice, are those of the issuer or its affiliated  companies at the time of publication. Certain data used are derived from various sources believed to be reliable, but the accuracy or completeness of the data is not guaranteed and no liability is assumed for any direct or consequential losses arising from their use.</w:t>
      </w:r>
      <w:r w:rsidRPr="00BA5B98">
        <w:rPr>
          <w:rFonts w:cs="Arial"/>
          <w:b/>
          <w:bCs/>
          <w:sz w:val="11"/>
          <w:szCs w:val="11"/>
          <w:lang w:val="en-US"/>
        </w:rPr>
        <w:t xml:space="preserve"> </w:t>
      </w:r>
      <w:r w:rsidRPr="00BA5B98">
        <w:rPr>
          <w:rFonts w:cs="Arial"/>
          <w:sz w:val="11"/>
          <w:szCs w:val="11"/>
          <w:lang w:val="en-US"/>
        </w:rPr>
        <w:t>The duplication, publication, extraction or transmission of the contents, irrespective of the form, is not permitted.</w:t>
      </w:r>
    </w:p>
    <w:p w14:paraId="511AC11B" w14:textId="77777777" w:rsidR="00E4154A" w:rsidRPr="00BA5B98" w:rsidRDefault="00E4154A" w:rsidP="00BA5B98">
      <w:pPr>
        <w:spacing w:after="120" w:line="240" w:lineRule="auto"/>
        <w:rPr>
          <w:rFonts w:cs="Arial"/>
          <w:sz w:val="11"/>
          <w:szCs w:val="11"/>
          <w:lang w:val="en-US"/>
        </w:rPr>
      </w:pPr>
      <w:r w:rsidRPr="00BA5B98">
        <w:rPr>
          <w:rFonts w:cs="Arial"/>
          <w:sz w:val="11"/>
          <w:szCs w:val="11"/>
          <w:lang w:val="en-US"/>
        </w:rPr>
        <w:t>This material has not been reviewed by any regulatory authorities. In mainland China, it is for Qualified Domestic Institutional Investors scheme pursuant to applicable rules and regulations and is for information purpose only. This document does not constitute a public offer by virtue of Act Number 26.831 of the Argentine Republic and General Resolution No. 622/2013 of the  NSC. This communication’s sole purpose is to inform and does not under any circumstance constitute promotion or publicity of Allianz Global Investors products and/or services in Colombia or to Colombian residents pursuant to part 4 of Decree 2555 of 2010. This communication does not in any way aim to directly or indirectly initiate the purchase of a product or the provision of a service offered by Allianz Global Investors. Via reception of this document, each resident in Colombia acknowledges and accepts to have contacted Allianz Global Investors via their own initiative and that the communication under no circumstances does not arise</w:t>
      </w:r>
      <w:r w:rsidRPr="00BA5B98">
        <w:rPr>
          <w:rFonts w:cs="Arial"/>
          <w:b/>
          <w:bCs/>
          <w:sz w:val="11"/>
          <w:szCs w:val="11"/>
          <w:lang w:val="en-US"/>
        </w:rPr>
        <w:t xml:space="preserve"> </w:t>
      </w:r>
      <w:r w:rsidRPr="00BA5B98">
        <w:rPr>
          <w:rFonts w:cs="Arial"/>
          <w:sz w:val="11"/>
          <w:szCs w:val="11"/>
          <w:lang w:val="en-US"/>
        </w:rPr>
        <w:t>from any promotional or marketing activities carried out by Allianz Global Investors. Colombian residents accept that accessing any type of social network page of Allianz Global Investors is done under their own responsibility and initiative and are aware that they may access specific information on the products and services of Allianz Global Investors. This communication is strictly private and confidential and may not be reproduced, except for the case of explicit permission by Allianz Global Investors. This</w:t>
      </w:r>
      <w:r w:rsidRPr="00BA5B98">
        <w:rPr>
          <w:rFonts w:cs="Arial"/>
          <w:b/>
          <w:bCs/>
          <w:sz w:val="11"/>
          <w:szCs w:val="11"/>
          <w:lang w:val="en-US"/>
        </w:rPr>
        <w:t xml:space="preserve"> </w:t>
      </w:r>
      <w:r w:rsidRPr="00BA5B98">
        <w:rPr>
          <w:rFonts w:cs="Arial"/>
          <w:sz w:val="11"/>
          <w:szCs w:val="11"/>
          <w:lang w:val="en-US"/>
        </w:rPr>
        <w:t>communication does not constitute a public offer of securities in Colombia pursuant to the public offer regulation set forth in Decree 2555 of 2010. This communication and the information provided herein should not be considered a solicitation or an offer by Allianz Global Investors or its affiliates to provide any financial products in Brazil, Panama, Peru, and Uruguay. In Australia, this material</w:t>
      </w:r>
      <w:r w:rsidRPr="00BA5B98">
        <w:rPr>
          <w:rFonts w:cs="Arial"/>
          <w:b/>
          <w:bCs/>
          <w:sz w:val="11"/>
          <w:szCs w:val="11"/>
          <w:lang w:val="en-US"/>
        </w:rPr>
        <w:t xml:space="preserve"> </w:t>
      </w:r>
      <w:r w:rsidRPr="00BA5B98">
        <w:rPr>
          <w:rFonts w:cs="Arial"/>
          <w:sz w:val="11"/>
          <w:szCs w:val="11"/>
          <w:lang w:val="en-US"/>
        </w:rPr>
        <w:t>is presented by Allianz Global Investors Asia Pacific Limited (“AllianzGI AP”) and is intended for the use of investment consultants and other institutional /professional investors only, and is not directed to the public or individual retail investors. AllianzGI AP is not licensed to provide financial services to retail clients in Australia. AllianzGI AP is exempt from the requirement to hold an Australian Foreign Financial Service License under the Corporations Act 2001 (Cth) pursuant to ASIC Class Order (CO 03/1103) with respect</w:t>
      </w:r>
      <w:r w:rsidRPr="00BA5B98">
        <w:rPr>
          <w:rFonts w:cs="Arial"/>
          <w:b/>
          <w:bCs/>
          <w:sz w:val="11"/>
          <w:szCs w:val="11"/>
          <w:lang w:val="en-US"/>
        </w:rPr>
        <w:t xml:space="preserve"> </w:t>
      </w:r>
      <w:r w:rsidRPr="00BA5B98">
        <w:rPr>
          <w:rFonts w:cs="Arial"/>
          <w:sz w:val="11"/>
          <w:szCs w:val="11"/>
          <w:lang w:val="en-US"/>
        </w:rPr>
        <w:t>to the provision of financial services to wholesale clients only. AllianzGI AP is licensed and regulated by Hong Kong Securities and Futures Commission under Hong Kong laws, which differ from Australian laws.</w:t>
      </w:r>
    </w:p>
    <w:p w14:paraId="0A6F0A5E" w14:textId="77777777" w:rsidR="00E4154A" w:rsidRPr="00BA5B98" w:rsidRDefault="00E4154A" w:rsidP="00BA5B98">
      <w:pPr>
        <w:spacing w:after="120" w:line="240" w:lineRule="auto"/>
        <w:rPr>
          <w:rFonts w:cs="Arial"/>
          <w:sz w:val="11"/>
          <w:szCs w:val="11"/>
          <w:lang w:val="en-US"/>
        </w:rPr>
      </w:pPr>
      <w:r w:rsidRPr="00BA5B98">
        <w:rPr>
          <w:rFonts w:cs="Arial"/>
          <w:sz w:val="11"/>
          <w:szCs w:val="11"/>
          <w:lang w:val="en-US"/>
        </w:rPr>
        <w:t>This document is being distributed by the following Allianz Global Investors companies: Allianz Global Investors GmbH, an investment company in Germany, authorized by the German Bundesanstalt für Finanzdienstleistungsaufsicht (BaFin); Allianz Global Investors (Schweiz) AG; Allianz Global Investors UK Limited, authorized and regulated by the Financial Conduct Authority; in HK,</w:t>
      </w:r>
      <w:r w:rsidRPr="00BA5B98">
        <w:rPr>
          <w:rFonts w:cs="Arial"/>
          <w:b/>
          <w:bCs/>
          <w:sz w:val="11"/>
          <w:szCs w:val="11"/>
          <w:lang w:val="en-US"/>
        </w:rPr>
        <w:t xml:space="preserve"> </w:t>
      </w:r>
      <w:r w:rsidRPr="00BA5B98">
        <w:rPr>
          <w:rFonts w:cs="Arial"/>
          <w:sz w:val="11"/>
          <w:szCs w:val="11"/>
          <w:lang w:val="en-US"/>
        </w:rPr>
        <w:t xml:space="preserve">by Allianz Global Investors Asia Pacific Ltd., licensed by the Hong Kong Securities and Futures Commission; in Singapore, by Allianz Global Investors Singapore Ltd., regulated by the Monetary Authority of Singapore [Company Registration </w:t>
      </w:r>
      <w:r w:rsidRPr="00BA5B98">
        <w:rPr>
          <w:rFonts w:cs="Arial"/>
          <w:sz w:val="11"/>
          <w:szCs w:val="11"/>
          <w:lang w:val="en-US"/>
        </w:rPr>
        <w:lastRenderedPageBreak/>
        <w:t>No. 199907169Z]; in Japan, by Allianz Global Investors Japan Co., Ltd., registered in Japan as a Financial Instruments Business Operator [Registered  No. The Director of Kanto Local Finance Bureau (Financial Instruments Business Operator), No. 424], Member of Japan Investment Advisers Association, the Investment Trust Association, Japan and Type II Financial Instruments Firms Association; in Taiwan, by</w:t>
      </w:r>
      <w:r w:rsidRPr="00BA5B98">
        <w:rPr>
          <w:rFonts w:cs="Arial"/>
          <w:b/>
          <w:bCs/>
          <w:sz w:val="11"/>
          <w:szCs w:val="11"/>
          <w:lang w:val="en-US"/>
        </w:rPr>
        <w:t xml:space="preserve"> </w:t>
      </w:r>
      <w:r w:rsidRPr="00BA5B98">
        <w:rPr>
          <w:rFonts w:cs="Arial"/>
          <w:sz w:val="11"/>
          <w:szCs w:val="11"/>
          <w:lang w:val="en-US"/>
        </w:rPr>
        <w:t>Allianz Global Investors Taiwan Ltd., licensed by Financial Supervisory Commission in Taiwan; and in Indonesia, by PT. Allianz Global Investors Asset Management Indonesia licensed by Indonesia Financial Services Authority (OJK).</w:t>
      </w:r>
    </w:p>
    <w:p w14:paraId="1777E469" w14:textId="4B47FAF9" w:rsidR="00D725D1" w:rsidRPr="00BA5B98" w:rsidRDefault="00E4154A" w:rsidP="00BA5B98">
      <w:pPr>
        <w:spacing w:after="120" w:line="240" w:lineRule="auto"/>
        <w:rPr>
          <w:rFonts w:cs="Arial"/>
          <w:sz w:val="11"/>
          <w:szCs w:val="11"/>
          <w:lang w:val="en-US"/>
        </w:rPr>
      </w:pPr>
      <w:r w:rsidRPr="00BA5B98">
        <w:rPr>
          <w:rFonts w:cs="Arial"/>
          <w:sz w:val="11"/>
          <w:szCs w:val="11"/>
          <w:lang w:val="en-US"/>
        </w:rPr>
        <w:t>AdMaster 4004467</w:t>
      </w:r>
    </w:p>
    <w:sectPr w:rsidR="00D725D1" w:rsidRPr="00BA5B98" w:rsidSect="007512EE">
      <w:headerReference w:type="default" r:id="rId8"/>
      <w:footerReference w:type="default" r:id="rId9"/>
      <w:headerReference w:type="first" r:id="rId10"/>
      <w:footerReference w:type="first" r:id="rId11"/>
      <w:pgSz w:w="11907" w:h="16840" w:code="9"/>
      <w:pgMar w:top="1274" w:right="765" w:bottom="622" w:left="765" w:header="765" w:footer="65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143E" w14:textId="77777777" w:rsidR="00E44E19" w:rsidRDefault="00E44E19" w:rsidP="00CF6FBD">
      <w:pPr>
        <w:spacing w:line="240" w:lineRule="auto"/>
      </w:pPr>
      <w:r>
        <w:separator/>
      </w:r>
    </w:p>
  </w:endnote>
  <w:endnote w:type="continuationSeparator" w:id="0">
    <w:p w14:paraId="7A156936" w14:textId="77777777" w:rsidR="00E44E19" w:rsidRDefault="00E44E19" w:rsidP="00CF6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llianz Neo">
    <w:altName w:val="Calibri"/>
    <w:panose1 w:val="020B0604020202020204"/>
    <w:charset w:val="00"/>
    <w:family w:val="swiss"/>
    <w:pitch w:val="variable"/>
    <w:sig w:usb0="A000006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AC12" w14:textId="185D76E1" w:rsidR="009D32CD" w:rsidRDefault="009D32CD" w:rsidP="00A34245">
    <w:pPr>
      <w:pStyle w:val="Footnotesdisclaimer"/>
      <w:rPr>
        <w:b/>
      </w:rPr>
    </w:pPr>
  </w:p>
  <w:p w14:paraId="0E011BAD" w14:textId="77777777" w:rsidR="009D32CD" w:rsidRDefault="009D32CD" w:rsidP="00A34245">
    <w:pPr>
      <w:pStyle w:val="Footnotesdisclaimer"/>
      <w:rPr>
        <w:b/>
      </w:rPr>
    </w:pPr>
  </w:p>
  <w:p w14:paraId="155D788C" w14:textId="283BB5A4" w:rsidR="00A34245" w:rsidRPr="00C32EFE" w:rsidRDefault="00A34245" w:rsidP="00C9321D">
    <w:pPr>
      <w:pStyle w:val="Footnotesdisclaim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8125" w14:textId="77777777" w:rsidR="007512EE" w:rsidRDefault="008C3486" w:rsidP="00A34245">
    <w:pPr>
      <w:pStyle w:val="ToplinedateURL"/>
      <w:jc w:val="right"/>
    </w:pPr>
    <w:r>
      <w:rPr>
        <w:rStyle w:val="Nmerodepgina"/>
      </w:rPr>
      <w:br/>
    </w:r>
  </w:p>
  <w:p w14:paraId="6D327763" w14:textId="1AD5FBE7" w:rsidR="008C3486" w:rsidRPr="00A34245" w:rsidRDefault="00A34245" w:rsidP="00A34245">
    <w:pPr>
      <w:pStyle w:val="ToplinedateURL"/>
      <w:jc w:val="right"/>
      <w:rPr>
        <w:rStyle w:val="Nmerodepgina"/>
        <w:rFonts w:ascii="Arial" w:hAnsi="Arial"/>
        <w:b/>
        <w:sz w:val="20"/>
      </w:rPr>
    </w:pPr>
    <w:r>
      <w:br/>
    </w:r>
    <w:hyperlink r:id="rId1" w:history="1">
      <w:r w:rsidRPr="00A34245">
        <w:rPr>
          <w:rStyle w:val="Hiperligao"/>
          <w:b/>
          <w:color w:val="003781" w:themeColor="text1"/>
        </w:rPr>
        <w:t>Allianzgi.com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AAE1" w14:textId="77777777" w:rsidR="00E44E19" w:rsidRDefault="00E44E19" w:rsidP="00CF6FBD">
      <w:pPr>
        <w:spacing w:line="240" w:lineRule="auto"/>
      </w:pPr>
      <w:r>
        <w:separator/>
      </w:r>
    </w:p>
  </w:footnote>
  <w:footnote w:type="continuationSeparator" w:id="0">
    <w:p w14:paraId="6F0BEC62" w14:textId="77777777" w:rsidR="00E44E19" w:rsidRDefault="00E44E19" w:rsidP="00CF6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32CB" w14:textId="39F18AD1" w:rsidR="008C3486" w:rsidRDefault="008C3486" w:rsidP="008C3486">
    <w:pPr>
      <w:pStyle w:val="Cabealho"/>
    </w:pPr>
    <w:r w:rsidRPr="008C3486">
      <w:t xml:space="preserve">AllianzGI </w:t>
    </w:r>
    <w:r w:rsidR="005676B7">
      <w:rPr>
        <w:color w:val="13A0D3" w:themeColor="accent4"/>
      </w:rPr>
      <w:t>comentários</w:t>
    </w:r>
  </w:p>
  <w:p w14:paraId="048947A7" w14:textId="77777777" w:rsidR="00A34245" w:rsidRPr="008C3486" w:rsidRDefault="00A34245" w:rsidP="008C348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8244" w14:textId="77777777" w:rsidR="008C3486" w:rsidRDefault="008C3486">
    <w:pPr>
      <w:pStyle w:val="Cabealho"/>
    </w:pPr>
    <w:r w:rsidRPr="00434FD2">
      <w:rPr>
        <w:noProof/>
      </w:rPr>
      <w:drawing>
        <wp:inline distT="0" distB="0" distL="0" distR="0" wp14:anchorId="691C1945" wp14:editId="7602696B">
          <wp:extent cx="1458000" cy="550800"/>
          <wp:effectExtent l="0" t="0" r="8890" b="1905"/>
          <wp:docPr id="1218485551" name="Gráfico 121848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8000" cy="550800"/>
                  </a:xfrm>
                  <a:prstGeom prst="rect">
                    <a:avLst/>
                  </a:prstGeom>
                </pic:spPr>
              </pic:pic>
            </a:graphicData>
          </a:graphic>
        </wp:inline>
      </w:drawing>
    </w:r>
  </w:p>
  <w:p w14:paraId="411955DA" w14:textId="77777777" w:rsidR="008C3486" w:rsidRDefault="008C3486">
    <w:pPr>
      <w:pStyle w:val="Cabealho"/>
    </w:pPr>
  </w:p>
  <w:p w14:paraId="03FF5C4C" w14:textId="77777777" w:rsidR="008C3486" w:rsidRDefault="008C3486">
    <w:pPr>
      <w:pStyle w:val="Cabealho"/>
    </w:pPr>
  </w:p>
  <w:p w14:paraId="4A8B877E" w14:textId="77777777" w:rsidR="008C3486" w:rsidRDefault="008C34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09A4"/>
    <w:multiLevelType w:val="hybridMultilevel"/>
    <w:tmpl w:val="EE908A5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0C955B0A"/>
    <w:multiLevelType w:val="hybridMultilevel"/>
    <w:tmpl w:val="924AA61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0DCD3353"/>
    <w:multiLevelType w:val="hybridMultilevel"/>
    <w:tmpl w:val="4F9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15DA7"/>
    <w:multiLevelType w:val="hybridMultilevel"/>
    <w:tmpl w:val="1938FEF6"/>
    <w:lvl w:ilvl="0" w:tplc="ED64A9C8">
      <w:start w:val="1"/>
      <w:numFmt w:val="bullet"/>
      <w:lvlText w:val=""/>
      <w:lvlJc w:val="left"/>
      <w:pPr>
        <w:ind w:left="360" w:hanging="360"/>
      </w:pPr>
      <w:rPr>
        <w:rFonts w:ascii="Symbol" w:hAnsi="Symbol" w:hint="default"/>
        <w:lang w:val="pt-P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46371D"/>
    <w:multiLevelType w:val="hybridMultilevel"/>
    <w:tmpl w:val="FFB4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7709A"/>
    <w:multiLevelType w:val="hybridMultilevel"/>
    <w:tmpl w:val="42401E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AD22690"/>
    <w:multiLevelType w:val="multilevel"/>
    <w:tmpl w:val="40A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53C96"/>
    <w:multiLevelType w:val="hybridMultilevel"/>
    <w:tmpl w:val="1DA46E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CD95808"/>
    <w:multiLevelType w:val="hybridMultilevel"/>
    <w:tmpl w:val="04D4B5E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1D6E4AD7"/>
    <w:multiLevelType w:val="hybridMultilevel"/>
    <w:tmpl w:val="D50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53FC5"/>
    <w:multiLevelType w:val="hybridMultilevel"/>
    <w:tmpl w:val="64B0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D4D1A"/>
    <w:multiLevelType w:val="hybridMultilevel"/>
    <w:tmpl w:val="51B276A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E220F8D"/>
    <w:multiLevelType w:val="hybridMultilevel"/>
    <w:tmpl w:val="4CF6D096"/>
    <w:lvl w:ilvl="0" w:tplc="08160001">
      <w:start w:val="1"/>
      <w:numFmt w:val="bullet"/>
      <w:lvlText w:val=""/>
      <w:lvlJc w:val="left"/>
      <w:pPr>
        <w:ind w:left="360" w:hanging="360"/>
      </w:pPr>
      <w:rPr>
        <w:rFonts w:ascii="Symbol" w:hAnsi="Symbol" w:hint="default"/>
      </w:rPr>
    </w:lvl>
    <w:lvl w:ilvl="1" w:tplc="87EE1C94">
      <w:numFmt w:val="bullet"/>
      <w:lvlText w:val="•"/>
      <w:lvlJc w:val="left"/>
      <w:pPr>
        <w:ind w:left="1080" w:hanging="360"/>
      </w:pPr>
      <w:rPr>
        <w:rFonts w:ascii="Arial" w:eastAsia="Batang" w:hAnsi="Arial" w:cs="Arial"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347D6B54"/>
    <w:multiLevelType w:val="hybridMultilevel"/>
    <w:tmpl w:val="2DB034C6"/>
    <w:lvl w:ilvl="0" w:tplc="208630B6">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C90E92"/>
    <w:multiLevelType w:val="hybridMultilevel"/>
    <w:tmpl w:val="54582AF4"/>
    <w:lvl w:ilvl="0" w:tplc="59BAB81A">
      <w:numFmt w:val="bullet"/>
      <w:lvlText w:val="•"/>
      <w:lvlJc w:val="left"/>
      <w:pPr>
        <w:ind w:left="360" w:hanging="360"/>
      </w:pPr>
      <w:rPr>
        <w:rFonts w:ascii="Arial" w:eastAsia="Batang" w:hAnsi="Arial" w:cs="Aria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4408251D"/>
    <w:multiLevelType w:val="hybridMultilevel"/>
    <w:tmpl w:val="0D9C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F2709"/>
    <w:multiLevelType w:val="hybridMultilevel"/>
    <w:tmpl w:val="8EFC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30A20"/>
    <w:multiLevelType w:val="hybridMultilevel"/>
    <w:tmpl w:val="25049220"/>
    <w:lvl w:ilvl="0" w:tplc="59BAB81A">
      <w:numFmt w:val="bullet"/>
      <w:lvlText w:val="•"/>
      <w:lvlJc w:val="left"/>
      <w:pPr>
        <w:ind w:left="360" w:hanging="360"/>
      </w:pPr>
      <w:rPr>
        <w:rFonts w:ascii="Arial" w:eastAsia="Batang"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5852344"/>
    <w:multiLevelType w:val="multilevel"/>
    <w:tmpl w:val="658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07E4E"/>
    <w:multiLevelType w:val="hybridMultilevel"/>
    <w:tmpl w:val="8F6C8C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AAE0003"/>
    <w:multiLevelType w:val="hybridMultilevel"/>
    <w:tmpl w:val="5A2A8FD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1" w15:restartNumberingAfterBreak="0">
    <w:nsid w:val="60B83711"/>
    <w:multiLevelType w:val="hybridMultilevel"/>
    <w:tmpl w:val="8558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376642"/>
    <w:multiLevelType w:val="hybridMultilevel"/>
    <w:tmpl w:val="9C062196"/>
    <w:lvl w:ilvl="0" w:tplc="BE5C7938">
      <w:start w:val="1"/>
      <w:numFmt w:val="bullet"/>
      <w:pStyle w:val="PargrafodaLista"/>
      <w:lvlText w:val="•"/>
      <w:lvlJc w:val="left"/>
      <w:pPr>
        <w:ind w:left="720" w:hanging="360"/>
      </w:pPr>
      <w:rPr>
        <w:rFonts w:ascii="Allianz Neo" w:hAnsi="Allianz Ne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705E12"/>
    <w:multiLevelType w:val="hybridMultilevel"/>
    <w:tmpl w:val="4710C0DC"/>
    <w:lvl w:ilvl="0" w:tplc="7AC2EBDE">
      <w:numFmt w:val="bullet"/>
      <w:lvlText w:val="•"/>
      <w:lvlJc w:val="left"/>
      <w:pPr>
        <w:ind w:left="720" w:hanging="360"/>
      </w:pPr>
      <w:rPr>
        <w:rFonts w:ascii="Arial" w:eastAsia="Batang"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6C86157C"/>
    <w:multiLevelType w:val="multilevel"/>
    <w:tmpl w:val="C88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D20AA"/>
    <w:multiLevelType w:val="hybridMultilevel"/>
    <w:tmpl w:val="B65ED25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6" w15:restartNumberingAfterBreak="0">
    <w:nsid w:val="7E0C7610"/>
    <w:multiLevelType w:val="hybridMultilevel"/>
    <w:tmpl w:val="33D83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5405071">
    <w:abstractNumId w:val="22"/>
  </w:num>
  <w:num w:numId="2" w16cid:durableId="391121904">
    <w:abstractNumId w:val="11"/>
  </w:num>
  <w:num w:numId="3" w16cid:durableId="156697797">
    <w:abstractNumId w:val="7"/>
  </w:num>
  <w:num w:numId="4" w16cid:durableId="1298754208">
    <w:abstractNumId w:val="23"/>
  </w:num>
  <w:num w:numId="5" w16cid:durableId="1207915892">
    <w:abstractNumId w:val="24"/>
  </w:num>
  <w:num w:numId="6" w16cid:durableId="2023705168">
    <w:abstractNumId w:val="6"/>
  </w:num>
  <w:num w:numId="7" w16cid:durableId="298073667">
    <w:abstractNumId w:val="18"/>
  </w:num>
  <w:num w:numId="8" w16cid:durableId="1645623117">
    <w:abstractNumId w:val="4"/>
  </w:num>
  <w:num w:numId="9" w16cid:durableId="1364330820">
    <w:abstractNumId w:val="13"/>
  </w:num>
  <w:num w:numId="10" w16cid:durableId="1611006633">
    <w:abstractNumId w:val="13"/>
    <w:lvlOverride w:ilvl="0">
      <w:startOverride w:val="1"/>
    </w:lvlOverride>
    <w:lvlOverride w:ilvl="1"/>
    <w:lvlOverride w:ilvl="2"/>
    <w:lvlOverride w:ilvl="3"/>
    <w:lvlOverride w:ilvl="4"/>
    <w:lvlOverride w:ilvl="5"/>
    <w:lvlOverride w:ilvl="6"/>
    <w:lvlOverride w:ilvl="7"/>
    <w:lvlOverride w:ilvl="8"/>
  </w:num>
  <w:num w:numId="11" w16cid:durableId="957953933">
    <w:abstractNumId w:val="24"/>
  </w:num>
  <w:num w:numId="12" w16cid:durableId="1310859814">
    <w:abstractNumId w:val="6"/>
  </w:num>
  <w:num w:numId="13" w16cid:durableId="218908428">
    <w:abstractNumId w:val="18"/>
  </w:num>
  <w:num w:numId="14" w16cid:durableId="814375260">
    <w:abstractNumId w:val="4"/>
  </w:num>
  <w:num w:numId="15" w16cid:durableId="1842045945">
    <w:abstractNumId w:val="8"/>
  </w:num>
  <w:num w:numId="16" w16cid:durableId="1860774443">
    <w:abstractNumId w:val="25"/>
  </w:num>
  <w:num w:numId="17" w16cid:durableId="558322554">
    <w:abstractNumId w:val="3"/>
  </w:num>
  <w:num w:numId="18" w16cid:durableId="1014720662">
    <w:abstractNumId w:val="26"/>
  </w:num>
  <w:num w:numId="19" w16cid:durableId="1894198141">
    <w:abstractNumId w:val="0"/>
  </w:num>
  <w:num w:numId="20" w16cid:durableId="496072192">
    <w:abstractNumId w:val="12"/>
  </w:num>
  <w:num w:numId="21" w16cid:durableId="1311132238">
    <w:abstractNumId w:val="19"/>
  </w:num>
  <w:num w:numId="22" w16cid:durableId="80879424">
    <w:abstractNumId w:val="5"/>
  </w:num>
  <w:num w:numId="23" w16cid:durableId="183596597">
    <w:abstractNumId w:val="14"/>
  </w:num>
  <w:num w:numId="24" w16cid:durableId="642077836">
    <w:abstractNumId w:val="17"/>
  </w:num>
  <w:num w:numId="25" w16cid:durableId="1747259224">
    <w:abstractNumId w:val="20"/>
  </w:num>
  <w:num w:numId="26" w16cid:durableId="2144224981">
    <w:abstractNumId w:val="1"/>
  </w:num>
  <w:num w:numId="27" w16cid:durableId="2082873124">
    <w:abstractNumId w:val="21"/>
  </w:num>
  <w:num w:numId="28" w16cid:durableId="509956082">
    <w:abstractNumId w:val="16"/>
  </w:num>
  <w:num w:numId="29" w16cid:durableId="437722447">
    <w:abstractNumId w:val="2"/>
  </w:num>
  <w:num w:numId="30" w16cid:durableId="2130782851">
    <w:abstractNumId w:val="9"/>
  </w:num>
  <w:num w:numId="31" w16cid:durableId="1634286442">
    <w:abstractNumId w:val="10"/>
  </w:num>
  <w:num w:numId="32" w16cid:durableId="83237880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397"/>
  <w:drawingGridVerticalSpacing w:val="397"/>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C2"/>
    <w:rsid w:val="00002F19"/>
    <w:rsid w:val="000103D2"/>
    <w:rsid w:val="000123C1"/>
    <w:rsid w:val="00022961"/>
    <w:rsid w:val="00025906"/>
    <w:rsid w:val="0004301A"/>
    <w:rsid w:val="00044C3E"/>
    <w:rsid w:val="000466DF"/>
    <w:rsid w:val="00051DD9"/>
    <w:rsid w:val="00055D79"/>
    <w:rsid w:val="00062920"/>
    <w:rsid w:val="000771DE"/>
    <w:rsid w:val="0009064D"/>
    <w:rsid w:val="0009681B"/>
    <w:rsid w:val="00097F51"/>
    <w:rsid w:val="000A12B8"/>
    <w:rsid w:val="000A2E80"/>
    <w:rsid w:val="000A4781"/>
    <w:rsid w:val="000B2FDB"/>
    <w:rsid w:val="000B42CF"/>
    <w:rsid w:val="000B4CAA"/>
    <w:rsid w:val="000C299F"/>
    <w:rsid w:val="000C2AEB"/>
    <w:rsid w:val="000C3AC6"/>
    <w:rsid w:val="000D0E9A"/>
    <w:rsid w:val="000D3BB0"/>
    <w:rsid w:val="000D3CF1"/>
    <w:rsid w:val="000D77B8"/>
    <w:rsid w:val="000E2DA6"/>
    <w:rsid w:val="000F2A30"/>
    <w:rsid w:val="000F50D2"/>
    <w:rsid w:val="00102E3B"/>
    <w:rsid w:val="00104C17"/>
    <w:rsid w:val="00121201"/>
    <w:rsid w:val="00123A5F"/>
    <w:rsid w:val="00126813"/>
    <w:rsid w:val="00135907"/>
    <w:rsid w:val="00137D01"/>
    <w:rsid w:val="00143C7F"/>
    <w:rsid w:val="00146863"/>
    <w:rsid w:val="00150776"/>
    <w:rsid w:val="001529C2"/>
    <w:rsid w:val="00152D65"/>
    <w:rsid w:val="0015343D"/>
    <w:rsid w:val="00153BDF"/>
    <w:rsid w:val="001558C4"/>
    <w:rsid w:val="0016045A"/>
    <w:rsid w:val="00162559"/>
    <w:rsid w:val="001631FA"/>
    <w:rsid w:val="00167855"/>
    <w:rsid w:val="0018160E"/>
    <w:rsid w:val="00184471"/>
    <w:rsid w:val="00190C3A"/>
    <w:rsid w:val="0019191D"/>
    <w:rsid w:val="001958E6"/>
    <w:rsid w:val="001A635D"/>
    <w:rsid w:val="001B7613"/>
    <w:rsid w:val="001B7A1C"/>
    <w:rsid w:val="001C2991"/>
    <w:rsid w:val="001C40F3"/>
    <w:rsid w:val="001D2A92"/>
    <w:rsid w:val="001D622C"/>
    <w:rsid w:val="001D7803"/>
    <w:rsid w:val="001D79CC"/>
    <w:rsid w:val="001E0EDD"/>
    <w:rsid w:val="001E396F"/>
    <w:rsid w:val="001F0A37"/>
    <w:rsid w:val="00215260"/>
    <w:rsid w:val="00216B5B"/>
    <w:rsid w:val="00227707"/>
    <w:rsid w:val="00235F35"/>
    <w:rsid w:val="00243AA1"/>
    <w:rsid w:val="00263113"/>
    <w:rsid w:val="00266A52"/>
    <w:rsid w:val="00276B59"/>
    <w:rsid w:val="002A2E96"/>
    <w:rsid w:val="002A315B"/>
    <w:rsid w:val="002B618E"/>
    <w:rsid w:val="002B66AB"/>
    <w:rsid w:val="002D0CE9"/>
    <w:rsid w:val="002E3AE5"/>
    <w:rsid w:val="002E6186"/>
    <w:rsid w:val="002E6266"/>
    <w:rsid w:val="002E75C0"/>
    <w:rsid w:val="003040C9"/>
    <w:rsid w:val="0030681F"/>
    <w:rsid w:val="00313451"/>
    <w:rsid w:val="003168C1"/>
    <w:rsid w:val="00325463"/>
    <w:rsid w:val="003263A0"/>
    <w:rsid w:val="0033504F"/>
    <w:rsid w:val="00336D8A"/>
    <w:rsid w:val="003377E5"/>
    <w:rsid w:val="00343BA3"/>
    <w:rsid w:val="003464E6"/>
    <w:rsid w:val="00353C76"/>
    <w:rsid w:val="003725A9"/>
    <w:rsid w:val="00374A90"/>
    <w:rsid w:val="0037632F"/>
    <w:rsid w:val="00384092"/>
    <w:rsid w:val="00384C33"/>
    <w:rsid w:val="00384D17"/>
    <w:rsid w:val="003852AB"/>
    <w:rsid w:val="00390295"/>
    <w:rsid w:val="00390320"/>
    <w:rsid w:val="00395D8F"/>
    <w:rsid w:val="003A2FD7"/>
    <w:rsid w:val="003B6347"/>
    <w:rsid w:val="003C508A"/>
    <w:rsid w:val="003D5DDA"/>
    <w:rsid w:val="003E0CB8"/>
    <w:rsid w:val="003E19DE"/>
    <w:rsid w:val="003E5E04"/>
    <w:rsid w:val="003E7BD9"/>
    <w:rsid w:val="003F25E3"/>
    <w:rsid w:val="003F2EAF"/>
    <w:rsid w:val="0040209A"/>
    <w:rsid w:val="00402DB9"/>
    <w:rsid w:val="0040376E"/>
    <w:rsid w:val="0041042E"/>
    <w:rsid w:val="00416482"/>
    <w:rsid w:val="00421B19"/>
    <w:rsid w:val="00423515"/>
    <w:rsid w:val="004306DA"/>
    <w:rsid w:val="004312E9"/>
    <w:rsid w:val="00433884"/>
    <w:rsid w:val="00443A39"/>
    <w:rsid w:val="00446E59"/>
    <w:rsid w:val="00453BC2"/>
    <w:rsid w:val="00465425"/>
    <w:rsid w:val="004670DE"/>
    <w:rsid w:val="00471860"/>
    <w:rsid w:val="004771DB"/>
    <w:rsid w:val="00486230"/>
    <w:rsid w:val="0048795F"/>
    <w:rsid w:val="00496ECA"/>
    <w:rsid w:val="004A19CC"/>
    <w:rsid w:val="004B2B4E"/>
    <w:rsid w:val="004B39BB"/>
    <w:rsid w:val="004B78A7"/>
    <w:rsid w:val="004C069A"/>
    <w:rsid w:val="004E0FC5"/>
    <w:rsid w:val="004F1684"/>
    <w:rsid w:val="004F1DBF"/>
    <w:rsid w:val="004F3FD8"/>
    <w:rsid w:val="004F4148"/>
    <w:rsid w:val="004F48C5"/>
    <w:rsid w:val="004F66E1"/>
    <w:rsid w:val="00515FDD"/>
    <w:rsid w:val="005223A9"/>
    <w:rsid w:val="00535C01"/>
    <w:rsid w:val="00540663"/>
    <w:rsid w:val="0055244D"/>
    <w:rsid w:val="00552E8E"/>
    <w:rsid w:val="00555CE8"/>
    <w:rsid w:val="005676B7"/>
    <w:rsid w:val="005779E2"/>
    <w:rsid w:val="00590C43"/>
    <w:rsid w:val="005B5FE6"/>
    <w:rsid w:val="005C628B"/>
    <w:rsid w:val="005D6927"/>
    <w:rsid w:val="005E29C2"/>
    <w:rsid w:val="00610F51"/>
    <w:rsid w:val="00613BD8"/>
    <w:rsid w:val="00616C5D"/>
    <w:rsid w:val="006314C2"/>
    <w:rsid w:val="0067757F"/>
    <w:rsid w:val="00685567"/>
    <w:rsid w:val="0068590B"/>
    <w:rsid w:val="006968EA"/>
    <w:rsid w:val="006A3010"/>
    <w:rsid w:val="006B37BA"/>
    <w:rsid w:val="006D0E8F"/>
    <w:rsid w:val="006D4B36"/>
    <w:rsid w:val="006E2305"/>
    <w:rsid w:val="006E6619"/>
    <w:rsid w:val="006F252D"/>
    <w:rsid w:val="006F7F83"/>
    <w:rsid w:val="007006B2"/>
    <w:rsid w:val="0071239F"/>
    <w:rsid w:val="00712534"/>
    <w:rsid w:val="00713571"/>
    <w:rsid w:val="007144FE"/>
    <w:rsid w:val="007156B8"/>
    <w:rsid w:val="007204E1"/>
    <w:rsid w:val="00734C80"/>
    <w:rsid w:val="007512EE"/>
    <w:rsid w:val="00754D65"/>
    <w:rsid w:val="0075719E"/>
    <w:rsid w:val="007622C5"/>
    <w:rsid w:val="00764028"/>
    <w:rsid w:val="007655FA"/>
    <w:rsid w:val="007818FA"/>
    <w:rsid w:val="00785899"/>
    <w:rsid w:val="00786741"/>
    <w:rsid w:val="007876CB"/>
    <w:rsid w:val="00790990"/>
    <w:rsid w:val="007960AB"/>
    <w:rsid w:val="007A05AB"/>
    <w:rsid w:val="007A2078"/>
    <w:rsid w:val="007B3188"/>
    <w:rsid w:val="007C2F54"/>
    <w:rsid w:val="007E17FA"/>
    <w:rsid w:val="007E552F"/>
    <w:rsid w:val="00805CA8"/>
    <w:rsid w:val="00807631"/>
    <w:rsid w:val="00810B4B"/>
    <w:rsid w:val="008156FC"/>
    <w:rsid w:val="0082069F"/>
    <w:rsid w:val="008225DF"/>
    <w:rsid w:val="00825385"/>
    <w:rsid w:val="00825800"/>
    <w:rsid w:val="00825AE1"/>
    <w:rsid w:val="00831B17"/>
    <w:rsid w:val="00841EFD"/>
    <w:rsid w:val="0084570E"/>
    <w:rsid w:val="00845D5F"/>
    <w:rsid w:val="008531C6"/>
    <w:rsid w:val="00857D8D"/>
    <w:rsid w:val="008635FC"/>
    <w:rsid w:val="00870F07"/>
    <w:rsid w:val="008747DE"/>
    <w:rsid w:val="00875692"/>
    <w:rsid w:val="0088107A"/>
    <w:rsid w:val="00892027"/>
    <w:rsid w:val="0089314A"/>
    <w:rsid w:val="00896D83"/>
    <w:rsid w:val="008A2559"/>
    <w:rsid w:val="008B042A"/>
    <w:rsid w:val="008B2E11"/>
    <w:rsid w:val="008B46D6"/>
    <w:rsid w:val="008B7868"/>
    <w:rsid w:val="008C3486"/>
    <w:rsid w:val="008D4EA6"/>
    <w:rsid w:val="008D79CC"/>
    <w:rsid w:val="008E0A85"/>
    <w:rsid w:val="008E424B"/>
    <w:rsid w:val="008E6696"/>
    <w:rsid w:val="008E763E"/>
    <w:rsid w:val="008F6320"/>
    <w:rsid w:val="009017FB"/>
    <w:rsid w:val="00903A41"/>
    <w:rsid w:val="00915473"/>
    <w:rsid w:val="00931923"/>
    <w:rsid w:val="009426AA"/>
    <w:rsid w:val="009453F8"/>
    <w:rsid w:val="00945EEA"/>
    <w:rsid w:val="00946979"/>
    <w:rsid w:val="009507E5"/>
    <w:rsid w:val="00951D1C"/>
    <w:rsid w:val="00956687"/>
    <w:rsid w:val="00964C6A"/>
    <w:rsid w:val="00967BE1"/>
    <w:rsid w:val="009703F1"/>
    <w:rsid w:val="009B30C0"/>
    <w:rsid w:val="009B5D56"/>
    <w:rsid w:val="009B79D3"/>
    <w:rsid w:val="009C4296"/>
    <w:rsid w:val="009D1865"/>
    <w:rsid w:val="009D32CD"/>
    <w:rsid w:val="009D7040"/>
    <w:rsid w:val="009F14FE"/>
    <w:rsid w:val="009F618A"/>
    <w:rsid w:val="00A01672"/>
    <w:rsid w:val="00A10999"/>
    <w:rsid w:val="00A10DEC"/>
    <w:rsid w:val="00A1103A"/>
    <w:rsid w:val="00A118E8"/>
    <w:rsid w:val="00A22F7D"/>
    <w:rsid w:val="00A34245"/>
    <w:rsid w:val="00A35936"/>
    <w:rsid w:val="00A423B5"/>
    <w:rsid w:val="00A459A9"/>
    <w:rsid w:val="00A55F65"/>
    <w:rsid w:val="00A74CB5"/>
    <w:rsid w:val="00A75672"/>
    <w:rsid w:val="00A87BAC"/>
    <w:rsid w:val="00A9001F"/>
    <w:rsid w:val="00A90DE2"/>
    <w:rsid w:val="00A93390"/>
    <w:rsid w:val="00AA2DBF"/>
    <w:rsid w:val="00AA51AF"/>
    <w:rsid w:val="00AA61EA"/>
    <w:rsid w:val="00AA703E"/>
    <w:rsid w:val="00AB6BB1"/>
    <w:rsid w:val="00AB796A"/>
    <w:rsid w:val="00AC794D"/>
    <w:rsid w:val="00AC7B66"/>
    <w:rsid w:val="00AD09F9"/>
    <w:rsid w:val="00AD16E4"/>
    <w:rsid w:val="00AD3093"/>
    <w:rsid w:val="00AD7C14"/>
    <w:rsid w:val="00AE0FA2"/>
    <w:rsid w:val="00AE1CAD"/>
    <w:rsid w:val="00AE2860"/>
    <w:rsid w:val="00AF174C"/>
    <w:rsid w:val="00AF4D4A"/>
    <w:rsid w:val="00AF6C6B"/>
    <w:rsid w:val="00AF7556"/>
    <w:rsid w:val="00B33A2A"/>
    <w:rsid w:val="00B424DF"/>
    <w:rsid w:val="00B43300"/>
    <w:rsid w:val="00B44B87"/>
    <w:rsid w:val="00B554FA"/>
    <w:rsid w:val="00B9049E"/>
    <w:rsid w:val="00B96175"/>
    <w:rsid w:val="00BA1A87"/>
    <w:rsid w:val="00BA5B98"/>
    <w:rsid w:val="00BA77E2"/>
    <w:rsid w:val="00BB056E"/>
    <w:rsid w:val="00BB6B2D"/>
    <w:rsid w:val="00BD19A4"/>
    <w:rsid w:val="00BD2DA1"/>
    <w:rsid w:val="00BE0078"/>
    <w:rsid w:val="00BE5BED"/>
    <w:rsid w:val="00C11305"/>
    <w:rsid w:val="00C12563"/>
    <w:rsid w:val="00C21064"/>
    <w:rsid w:val="00C226A9"/>
    <w:rsid w:val="00C32EFE"/>
    <w:rsid w:val="00C403FC"/>
    <w:rsid w:val="00C40EEB"/>
    <w:rsid w:val="00C4141B"/>
    <w:rsid w:val="00C45A4E"/>
    <w:rsid w:val="00C61B55"/>
    <w:rsid w:val="00C66F84"/>
    <w:rsid w:val="00C71FB8"/>
    <w:rsid w:val="00C77099"/>
    <w:rsid w:val="00C923DC"/>
    <w:rsid w:val="00C9321D"/>
    <w:rsid w:val="00C94F2C"/>
    <w:rsid w:val="00CA3A63"/>
    <w:rsid w:val="00CB1895"/>
    <w:rsid w:val="00CB3C7D"/>
    <w:rsid w:val="00CC54D5"/>
    <w:rsid w:val="00CD1DA9"/>
    <w:rsid w:val="00CE29A2"/>
    <w:rsid w:val="00CF3F01"/>
    <w:rsid w:val="00CF6FBD"/>
    <w:rsid w:val="00CF7409"/>
    <w:rsid w:val="00D15835"/>
    <w:rsid w:val="00D41233"/>
    <w:rsid w:val="00D507FF"/>
    <w:rsid w:val="00D536E8"/>
    <w:rsid w:val="00D53E46"/>
    <w:rsid w:val="00D5751D"/>
    <w:rsid w:val="00D57A90"/>
    <w:rsid w:val="00D6088F"/>
    <w:rsid w:val="00D616CF"/>
    <w:rsid w:val="00D725D1"/>
    <w:rsid w:val="00D84AE0"/>
    <w:rsid w:val="00D90DB0"/>
    <w:rsid w:val="00D9360B"/>
    <w:rsid w:val="00DB458F"/>
    <w:rsid w:val="00DB77E9"/>
    <w:rsid w:val="00DC0C44"/>
    <w:rsid w:val="00DE2D83"/>
    <w:rsid w:val="00DF20D5"/>
    <w:rsid w:val="00DF2E1B"/>
    <w:rsid w:val="00E022F3"/>
    <w:rsid w:val="00E1573A"/>
    <w:rsid w:val="00E22CD6"/>
    <w:rsid w:val="00E24538"/>
    <w:rsid w:val="00E3406A"/>
    <w:rsid w:val="00E361C2"/>
    <w:rsid w:val="00E36A86"/>
    <w:rsid w:val="00E4154A"/>
    <w:rsid w:val="00E44E19"/>
    <w:rsid w:val="00E4763D"/>
    <w:rsid w:val="00E564AB"/>
    <w:rsid w:val="00E721C5"/>
    <w:rsid w:val="00E77058"/>
    <w:rsid w:val="00E9088A"/>
    <w:rsid w:val="00E9319B"/>
    <w:rsid w:val="00EA3499"/>
    <w:rsid w:val="00EB2475"/>
    <w:rsid w:val="00EC6FF0"/>
    <w:rsid w:val="00F05C98"/>
    <w:rsid w:val="00F06A6E"/>
    <w:rsid w:val="00F1130E"/>
    <w:rsid w:val="00F1291D"/>
    <w:rsid w:val="00F136D9"/>
    <w:rsid w:val="00F156D0"/>
    <w:rsid w:val="00F253C3"/>
    <w:rsid w:val="00F32A4D"/>
    <w:rsid w:val="00F4436E"/>
    <w:rsid w:val="00F50A20"/>
    <w:rsid w:val="00F53F6E"/>
    <w:rsid w:val="00F60BE6"/>
    <w:rsid w:val="00F70C30"/>
    <w:rsid w:val="00F7191E"/>
    <w:rsid w:val="00F852AD"/>
    <w:rsid w:val="00F9294E"/>
    <w:rsid w:val="00F95A4F"/>
    <w:rsid w:val="00F965BE"/>
    <w:rsid w:val="00FA5355"/>
    <w:rsid w:val="00FA5822"/>
    <w:rsid w:val="00FA5B21"/>
    <w:rsid w:val="00FA5E3D"/>
    <w:rsid w:val="00FE4442"/>
    <w:rsid w:val="00FE6995"/>
    <w:rsid w:val="00FF73B5"/>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D4EE70"/>
  <w15:docId w15:val="{E7647320-486D-4AAC-9662-1056100B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0771DE"/>
    <w:pPr>
      <w:spacing w:after="200" w:line="276" w:lineRule="auto"/>
    </w:pPr>
    <w:rPr>
      <w:rFonts w:ascii="Arial" w:hAnsi="Arial"/>
      <w:color w:val="414141" w:themeColor="background2"/>
      <w:lang w:val="en-GB"/>
    </w:rPr>
  </w:style>
  <w:style w:type="paragraph" w:styleId="Ttulo1">
    <w:name w:val="heading 1"/>
    <w:basedOn w:val="Normal"/>
    <w:next w:val="Normal"/>
    <w:link w:val="Ttulo1Carter"/>
    <w:qFormat/>
    <w:rsid w:val="000A4781"/>
    <w:pPr>
      <w:keepNext/>
      <w:spacing w:line="192" w:lineRule="auto"/>
      <w:outlineLvl w:val="0"/>
    </w:pPr>
    <w:rPr>
      <w:color w:val="003781" w:themeColor="text1"/>
      <w:sz w:val="80"/>
    </w:rPr>
  </w:style>
  <w:style w:type="paragraph" w:styleId="Ttulo2">
    <w:name w:val="heading 2"/>
    <w:next w:val="Normal"/>
    <w:qFormat/>
    <w:rsid w:val="00A34245"/>
    <w:pPr>
      <w:spacing w:after="400"/>
      <w:outlineLvl w:val="1"/>
    </w:pPr>
    <w:rPr>
      <w:rFonts w:ascii="Arial" w:hAnsi="Arial"/>
      <w:bCs/>
      <w:color w:val="003781" w:themeColor="text1"/>
      <w:sz w:val="50"/>
      <w:szCs w:val="26"/>
      <w:lang w:val="en-GB"/>
    </w:rPr>
  </w:style>
  <w:style w:type="paragraph" w:styleId="Ttulo3">
    <w:name w:val="heading 3"/>
    <w:basedOn w:val="Normal"/>
    <w:next w:val="Normal"/>
    <w:qFormat/>
    <w:rsid w:val="000A4781"/>
    <w:pPr>
      <w:keepNext/>
      <w:autoSpaceDE w:val="0"/>
      <w:autoSpaceDN w:val="0"/>
      <w:adjustRightInd w:val="0"/>
      <w:outlineLvl w:val="2"/>
    </w:pPr>
    <w:rPr>
      <w:color w:val="113388"/>
      <w:sz w:val="26"/>
      <w:szCs w:val="26"/>
    </w:rPr>
  </w:style>
  <w:style w:type="paragraph" w:styleId="Ttulo4">
    <w:name w:val="heading 4"/>
    <w:basedOn w:val="Ttulo3"/>
    <w:next w:val="Normal"/>
    <w:link w:val="Ttulo4Carter"/>
    <w:uiPriority w:val="9"/>
    <w:unhideWhenUsed/>
    <w:qFormat/>
    <w:rsid w:val="000771DE"/>
    <w:pPr>
      <w:spacing w:after="0"/>
      <w:outlineLvl w:val="3"/>
    </w:pPr>
    <w:rPr>
      <w:b/>
      <w:sz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left" w:pos="7711"/>
      </w:tabs>
    </w:pPr>
  </w:style>
  <w:style w:type="paragraph" w:styleId="Cabealho">
    <w:name w:val="header"/>
    <w:basedOn w:val="Normal"/>
    <w:rsid w:val="008C3486"/>
    <w:pPr>
      <w:tabs>
        <w:tab w:val="left" w:pos="0"/>
      </w:tabs>
    </w:pPr>
    <w:rPr>
      <w:b/>
      <w:caps/>
      <w:color w:val="003781" w:themeColor="text1"/>
      <w:spacing w:val="22"/>
      <w:sz w:val="18"/>
    </w:rPr>
  </w:style>
  <w:style w:type="character" w:styleId="Nmerodepgina">
    <w:name w:val="page number"/>
    <w:basedOn w:val="Tipodeletrapredefinidodopargrafo"/>
    <w:rsid w:val="00A34245"/>
    <w:rPr>
      <w:rFonts w:asciiTheme="minorHAnsi" w:hAnsiTheme="minorHAnsi"/>
      <w:b/>
      <w:color w:val="003781" w:themeColor="text1"/>
      <w:sz w:val="16"/>
    </w:rPr>
  </w:style>
  <w:style w:type="paragraph" w:customStyle="1" w:styleId="Copyblue">
    <w:name w:val="Copy (blue)"/>
    <w:qFormat/>
    <w:rsid w:val="000771DE"/>
    <w:pPr>
      <w:spacing w:after="200"/>
    </w:pPr>
    <w:rPr>
      <w:rFonts w:ascii="Arial" w:hAnsi="Arial"/>
      <w:color w:val="003781" w:themeColor="text1"/>
      <w:szCs w:val="19"/>
      <w:lang w:val="en-GB"/>
    </w:rPr>
  </w:style>
  <w:style w:type="paragraph" w:styleId="PargrafodaLista">
    <w:name w:val="List Paragraph"/>
    <w:basedOn w:val="Normal"/>
    <w:uiPriority w:val="34"/>
    <w:qFormat/>
    <w:rsid w:val="00A34245"/>
    <w:pPr>
      <w:numPr>
        <w:numId w:val="1"/>
      </w:numPr>
      <w:ind w:left="198" w:hanging="198"/>
      <w:contextualSpacing/>
    </w:pPr>
    <w:rPr>
      <w:lang w:val="fr-FR"/>
    </w:rPr>
  </w:style>
  <w:style w:type="paragraph" w:customStyle="1" w:styleId="Smallcopy">
    <w:name w:val="Small copy"/>
    <w:qFormat/>
    <w:rsid w:val="000A4781"/>
    <w:pPr>
      <w:spacing w:after="200"/>
    </w:pPr>
    <w:rPr>
      <w:rFonts w:ascii="Arial" w:hAnsi="Arial"/>
      <w:color w:val="003781" w:themeColor="text1"/>
      <w:sz w:val="16"/>
      <w:szCs w:val="16"/>
    </w:rPr>
  </w:style>
  <w:style w:type="character" w:styleId="Hiperligao">
    <w:name w:val="Hyperlink"/>
    <w:rsid w:val="000771DE"/>
    <w:rPr>
      <w:b/>
      <w:color w:val="007AB3" w:themeColor="accent3"/>
      <w:u w:val="none"/>
    </w:rPr>
  </w:style>
  <w:style w:type="character" w:customStyle="1" w:styleId="Ttulo1Carter">
    <w:name w:val="Título 1 Caráter"/>
    <w:link w:val="Ttulo1"/>
    <w:rsid w:val="000A4781"/>
    <w:rPr>
      <w:rFonts w:ascii="Arial" w:hAnsi="Arial"/>
      <w:color w:val="003781" w:themeColor="text1"/>
      <w:sz w:val="80"/>
      <w:lang w:val="en-GB"/>
    </w:rPr>
  </w:style>
  <w:style w:type="paragraph" w:styleId="Textodebalo">
    <w:name w:val="Balloon Text"/>
    <w:basedOn w:val="Normal"/>
    <w:link w:val="TextodebaloCarter"/>
    <w:uiPriority w:val="99"/>
    <w:semiHidden/>
    <w:unhideWhenUsed/>
    <w:rsid w:val="00786741"/>
    <w:pPr>
      <w:spacing w:line="240" w:lineRule="auto"/>
    </w:pPr>
    <w:rPr>
      <w:rFonts w:ascii="Tahoma" w:hAnsi="Tahoma" w:cs="Tahoma"/>
      <w:sz w:val="16"/>
      <w:szCs w:val="16"/>
    </w:rPr>
  </w:style>
  <w:style w:type="character" w:customStyle="1" w:styleId="TextodebaloCarter">
    <w:name w:val="Texto de balão Caráter"/>
    <w:link w:val="Textodebalo"/>
    <w:uiPriority w:val="99"/>
    <w:semiHidden/>
    <w:rsid w:val="00786741"/>
    <w:rPr>
      <w:rFonts w:ascii="Tahoma" w:hAnsi="Tahoma" w:cs="Tahoma"/>
      <w:sz w:val="16"/>
      <w:szCs w:val="16"/>
    </w:rPr>
  </w:style>
  <w:style w:type="paragraph" w:customStyle="1" w:styleId="ToplinedateURL">
    <w:name w:val="Topline / date / URL"/>
    <w:basedOn w:val="Normal"/>
    <w:qFormat/>
    <w:rsid w:val="000A4781"/>
    <w:pPr>
      <w:spacing w:after="0" w:line="192" w:lineRule="auto"/>
    </w:pPr>
    <w:rPr>
      <w:b/>
      <w:caps/>
      <w:color w:val="003781" w:themeColor="text2"/>
      <w:spacing w:val="22"/>
      <w:lang w:val="en-US"/>
    </w:rPr>
  </w:style>
  <w:style w:type="character" w:customStyle="1" w:styleId="Ttulo4Carter">
    <w:name w:val="Título 4 Caráter"/>
    <w:basedOn w:val="Tipodeletrapredefinidodopargrafo"/>
    <w:link w:val="Ttulo4"/>
    <w:uiPriority w:val="9"/>
    <w:rsid w:val="000771DE"/>
    <w:rPr>
      <w:rFonts w:ascii="Arial" w:hAnsi="Arial"/>
      <w:b/>
      <w:color w:val="113388"/>
      <w:szCs w:val="26"/>
      <w:lang w:val="en-GB"/>
    </w:rPr>
  </w:style>
  <w:style w:type="character" w:styleId="MenoNoResolvida">
    <w:name w:val="Unresolved Mention"/>
    <w:basedOn w:val="Tipodeletrapredefinidodopargrafo"/>
    <w:uiPriority w:val="99"/>
    <w:semiHidden/>
    <w:unhideWhenUsed/>
    <w:rsid w:val="000771DE"/>
    <w:rPr>
      <w:color w:val="605E5C"/>
      <w:shd w:val="clear" w:color="auto" w:fill="E1DFDD"/>
    </w:rPr>
  </w:style>
  <w:style w:type="paragraph" w:customStyle="1" w:styleId="Footnotesdisclaimer">
    <w:name w:val="Footnotes / disclaimer"/>
    <w:basedOn w:val="Normal"/>
    <w:uiPriority w:val="1"/>
    <w:qFormat/>
    <w:rsid w:val="00A34245"/>
    <w:pPr>
      <w:spacing w:line="264" w:lineRule="auto"/>
    </w:pPr>
    <w:rPr>
      <w:sz w:val="16"/>
    </w:rPr>
  </w:style>
  <w:style w:type="paragraph" w:styleId="NormalWeb">
    <w:name w:val="Normal (Web)"/>
    <w:basedOn w:val="Normal"/>
    <w:uiPriority w:val="99"/>
    <w:semiHidden/>
    <w:unhideWhenUsed/>
    <w:rsid w:val="00DC0C44"/>
    <w:pPr>
      <w:spacing w:before="100" w:beforeAutospacing="1" w:after="100" w:afterAutospacing="1" w:line="240" w:lineRule="auto"/>
    </w:pPr>
    <w:rPr>
      <w:rFonts w:ascii="Times New Roman" w:eastAsia="Times New Roman" w:hAnsi="Times New Roman"/>
      <w:color w:val="auto"/>
      <w:sz w:val="24"/>
      <w:szCs w:val="24"/>
      <w:lang w:val="en-US" w:eastAsia="zh-CN"/>
    </w:rPr>
  </w:style>
  <w:style w:type="paragraph" w:styleId="Reviso">
    <w:name w:val="Revision"/>
    <w:hidden/>
    <w:uiPriority w:val="99"/>
    <w:semiHidden/>
    <w:rsid w:val="00AF4D4A"/>
    <w:rPr>
      <w:rFonts w:ascii="Arial" w:hAnsi="Arial"/>
      <w:color w:val="414141" w:themeColor="background2"/>
      <w:lang w:val="en-GB"/>
    </w:rPr>
  </w:style>
  <w:style w:type="character" w:styleId="Refdecomentrio">
    <w:name w:val="annotation reference"/>
    <w:basedOn w:val="Tipodeletrapredefinidodopargrafo"/>
    <w:uiPriority w:val="99"/>
    <w:semiHidden/>
    <w:unhideWhenUsed/>
    <w:rsid w:val="00FA5355"/>
    <w:rPr>
      <w:sz w:val="16"/>
      <w:szCs w:val="16"/>
    </w:rPr>
  </w:style>
  <w:style w:type="paragraph" w:styleId="Textodecomentrio">
    <w:name w:val="annotation text"/>
    <w:basedOn w:val="Normal"/>
    <w:link w:val="TextodecomentrioCarter"/>
    <w:uiPriority w:val="99"/>
    <w:semiHidden/>
    <w:unhideWhenUsed/>
    <w:rsid w:val="00FA5355"/>
    <w:pPr>
      <w:spacing w:line="240" w:lineRule="auto"/>
    </w:pPr>
  </w:style>
  <w:style w:type="character" w:customStyle="1" w:styleId="TextodecomentrioCarter">
    <w:name w:val="Texto de comentário Caráter"/>
    <w:basedOn w:val="Tipodeletrapredefinidodopargrafo"/>
    <w:link w:val="Textodecomentrio"/>
    <w:uiPriority w:val="99"/>
    <w:semiHidden/>
    <w:rsid w:val="00FA5355"/>
    <w:rPr>
      <w:rFonts w:ascii="Arial" w:hAnsi="Arial"/>
      <w:color w:val="414141" w:themeColor="background2"/>
      <w:lang w:val="en-GB"/>
    </w:rPr>
  </w:style>
  <w:style w:type="paragraph" w:styleId="Assuntodecomentrio">
    <w:name w:val="annotation subject"/>
    <w:basedOn w:val="Textodecomentrio"/>
    <w:next w:val="Textodecomentrio"/>
    <w:link w:val="AssuntodecomentrioCarter"/>
    <w:uiPriority w:val="99"/>
    <w:semiHidden/>
    <w:unhideWhenUsed/>
    <w:rsid w:val="00FA5355"/>
    <w:rPr>
      <w:b/>
      <w:bCs/>
    </w:rPr>
  </w:style>
  <w:style w:type="character" w:customStyle="1" w:styleId="AssuntodecomentrioCarter">
    <w:name w:val="Assunto de comentário Caráter"/>
    <w:basedOn w:val="TextodecomentrioCarter"/>
    <w:link w:val="Assuntodecomentrio"/>
    <w:uiPriority w:val="99"/>
    <w:semiHidden/>
    <w:rsid w:val="00FA5355"/>
    <w:rPr>
      <w:rFonts w:ascii="Arial" w:hAnsi="Arial"/>
      <w:b/>
      <w:bCs/>
      <w:color w:val="414141" w:themeColor="background2"/>
      <w:lang w:val="en-GB"/>
    </w:rPr>
  </w:style>
  <w:style w:type="paragraph" w:styleId="Textodenotaderodap">
    <w:name w:val="footnote text"/>
    <w:basedOn w:val="Normal"/>
    <w:link w:val="TextodenotaderodapCarter"/>
    <w:uiPriority w:val="99"/>
    <w:semiHidden/>
    <w:unhideWhenUsed/>
    <w:rsid w:val="003E0CB8"/>
    <w:pPr>
      <w:spacing w:after="0" w:line="240" w:lineRule="auto"/>
    </w:pPr>
    <w:rPr>
      <w:rFonts w:ascii="Allianz Neo" w:eastAsiaTheme="minorEastAsia" w:hAnsi="Allianz Neo" w:cstheme="minorBidi"/>
      <w:lang w:val="en-US" w:eastAsia="ko-KR"/>
    </w:rPr>
  </w:style>
  <w:style w:type="character" w:customStyle="1" w:styleId="TextodenotaderodapCarter">
    <w:name w:val="Texto de nota de rodapé Caráter"/>
    <w:basedOn w:val="Tipodeletrapredefinidodopargrafo"/>
    <w:link w:val="Textodenotaderodap"/>
    <w:uiPriority w:val="99"/>
    <w:semiHidden/>
    <w:rsid w:val="003E0CB8"/>
    <w:rPr>
      <w:rFonts w:ascii="Allianz Neo" w:eastAsiaTheme="minorEastAsia" w:hAnsi="Allianz Neo" w:cstheme="minorBidi"/>
      <w:color w:val="414141" w:themeColor="background2"/>
      <w:lang w:val="en-US" w:eastAsia="ko-KR"/>
    </w:rPr>
  </w:style>
  <w:style w:type="character" w:styleId="Refdenotaderodap">
    <w:name w:val="footnote reference"/>
    <w:basedOn w:val="Tipodeletrapredefinidodopargrafo"/>
    <w:uiPriority w:val="99"/>
    <w:semiHidden/>
    <w:unhideWhenUsed/>
    <w:rsid w:val="003E0CB8"/>
    <w:rPr>
      <w:vertAlign w:val="superscript"/>
    </w:rPr>
  </w:style>
  <w:style w:type="character" w:styleId="Hiperligaovisitada">
    <w:name w:val="FollowedHyperlink"/>
    <w:basedOn w:val="Tipodeletrapredefinidodopargrafo"/>
    <w:uiPriority w:val="99"/>
    <w:semiHidden/>
    <w:unhideWhenUsed/>
    <w:rsid w:val="00104C17"/>
    <w:rPr>
      <w:color w:val="7F7F7F" w:themeColor="followedHyperlink"/>
      <w:u w:val="single"/>
    </w:rPr>
  </w:style>
  <w:style w:type="paragraph" w:customStyle="1" w:styleId="msipfooterc220e731">
    <w:name w:val="msipfooterc220e731"/>
    <w:basedOn w:val="Normal"/>
    <w:rsid w:val="004F1684"/>
    <w:pPr>
      <w:spacing w:before="100" w:beforeAutospacing="1" w:after="100" w:afterAutospacing="1" w:line="240" w:lineRule="auto"/>
    </w:pPr>
    <w:rPr>
      <w:rFonts w:ascii="Calibri" w:eastAsiaTheme="minorEastAsia" w:hAnsi="Calibri" w:cs="Calibri"/>
      <w:color w:val="auto"/>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463679">
      <w:bodyDiv w:val="1"/>
      <w:marLeft w:val="0"/>
      <w:marRight w:val="0"/>
      <w:marTop w:val="0"/>
      <w:marBottom w:val="0"/>
      <w:divBdr>
        <w:top w:val="none" w:sz="0" w:space="0" w:color="auto"/>
        <w:left w:val="none" w:sz="0" w:space="0" w:color="auto"/>
        <w:bottom w:val="none" w:sz="0" w:space="0" w:color="auto"/>
        <w:right w:val="none" w:sz="0" w:space="0" w:color="auto"/>
      </w:divBdr>
    </w:div>
    <w:div w:id="636567768">
      <w:bodyDiv w:val="1"/>
      <w:marLeft w:val="0"/>
      <w:marRight w:val="0"/>
      <w:marTop w:val="0"/>
      <w:marBottom w:val="0"/>
      <w:divBdr>
        <w:top w:val="none" w:sz="0" w:space="0" w:color="auto"/>
        <w:left w:val="none" w:sz="0" w:space="0" w:color="auto"/>
        <w:bottom w:val="none" w:sz="0" w:space="0" w:color="auto"/>
        <w:right w:val="none" w:sz="0" w:space="0" w:color="auto"/>
      </w:divBdr>
    </w:div>
    <w:div w:id="1221818485">
      <w:bodyDiv w:val="1"/>
      <w:marLeft w:val="0"/>
      <w:marRight w:val="0"/>
      <w:marTop w:val="0"/>
      <w:marBottom w:val="0"/>
      <w:divBdr>
        <w:top w:val="none" w:sz="0" w:space="0" w:color="auto"/>
        <w:left w:val="none" w:sz="0" w:space="0" w:color="auto"/>
        <w:bottom w:val="none" w:sz="0" w:space="0" w:color="auto"/>
        <w:right w:val="none" w:sz="0" w:space="0" w:color="auto"/>
      </w:divBdr>
    </w:div>
    <w:div w:id="1337727665">
      <w:bodyDiv w:val="1"/>
      <w:marLeft w:val="0"/>
      <w:marRight w:val="0"/>
      <w:marTop w:val="0"/>
      <w:marBottom w:val="0"/>
      <w:divBdr>
        <w:top w:val="none" w:sz="0" w:space="0" w:color="auto"/>
        <w:left w:val="none" w:sz="0" w:space="0" w:color="auto"/>
        <w:bottom w:val="none" w:sz="0" w:space="0" w:color="auto"/>
        <w:right w:val="none" w:sz="0" w:space="0" w:color="auto"/>
      </w:divBdr>
    </w:div>
    <w:div w:id="1351374219">
      <w:bodyDiv w:val="1"/>
      <w:marLeft w:val="0"/>
      <w:marRight w:val="0"/>
      <w:marTop w:val="0"/>
      <w:marBottom w:val="0"/>
      <w:divBdr>
        <w:top w:val="none" w:sz="0" w:space="0" w:color="auto"/>
        <w:left w:val="none" w:sz="0" w:space="0" w:color="auto"/>
        <w:bottom w:val="none" w:sz="0" w:space="0" w:color="auto"/>
        <w:right w:val="none" w:sz="0" w:space="0" w:color="auto"/>
      </w:divBdr>
    </w:div>
    <w:div w:id="1397783367">
      <w:bodyDiv w:val="1"/>
      <w:marLeft w:val="0"/>
      <w:marRight w:val="0"/>
      <w:marTop w:val="0"/>
      <w:marBottom w:val="0"/>
      <w:divBdr>
        <w:top w:val="none" w:sz="0" w:space="0" w:color="auto"/>
        <w:left w:val="none" w:sz="0" w:space="0" w:color="auto"/>
        <w:bottom w:val="none" w:sz="0" w:space="0" w:color="auto"/>
        <w:right w:val="none" w:sz="0" w:space="0" w:color="auto"/>
      </w:divBdr>
    </w:div>
    <w:div w:id="1427799929">
      <w:bodyDiv w:val="1"/>
      <w:marLeft w:val="0"/>
      <w:marRight w:val="0"/>
      <w:marTop w:val="0"/>
      <w:marBottom w:val="0"/>
      <w:divBdr>
        <w:top w:val="none" w:sz="0" w:space="0" w:color="auto"/>
        <w:left w:val="none" w:sz="0" w:space="0" w:color="auto"/>
        <w:bottom w:val="none" w:sz="0" w:space="0" w:color="auto"/>
        <w:right w:val="none" w:sz="0" w:space="0" w:color="auto"/>
      </w:divBdr>
      <w:divsChild>
        <w:div w:id="1923946874">
          <w:marLeft w:val="0"/>
          <w:marRight w:val="0"/>
          <w:marTop w:val="0"/>
          <w:marBottom w:val="0"/>
          <w:divBdr>
            <w:top w:val="none" w:sz="0" w:space="0" w:color="auto"/>
            <w:left w:val="none" w:sz="0" w:space="0" w:color="auto"/>
            <w:bottom w:val="none" w:sz="0" w:space="0" w:color="auto"/>
            <w:right w:val="none" w:sz="0" w:space="0" w:color="auto"/>
          </w:divBdr>
          <w:divsChild>
            <w:div w:id="1003508142">
              <w:marLeft w:val="0"/>
              <w:marRight w:val="0"/>
              <w:marTop w:val="0"/>
              <w:marBottom w:val="0"/>
              <w:divBdr>
                <w:top w:val="none" w:sz="0" w:space="0" w:color="auto"/>
                <w:left w:val="none" w:sz="0" w:space="0" w:color="auto"/>
                <w:bottom w:val="none" w:sz="0" w:space="0" w:color="auto"/>
                <w:right w:val="none" w:sz="0" w:space="0" w:color="auto"/>
              </w:divBdr>
            </w:div>
            <w:div w:id="1897814285">
              <w:marLeft w:val="0"/>
              <w:marRight w:val="0"/>
              <w:marTop w:val="0"/>
              <w:marBottom w:val="0"/>
              <w:divBdr>
                <w:top w:val="none" w:sz="0" w:space="0" w:color="auto"/>
                <w:left w:val="none" w:sz="0" w:space="0" w:color="auto"/>
                <w:bottom w:val="none" w:sz="0" w:space="0" w:color="auto"/>
                <w:right w:val="none" w:sz="0" w:space="0" w:color="auto"/>
              </w:divBdr>
              <w:divsChild>
                <w:div w:id="6847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71747">
          <w:marLeft w:val="0"/>
          <w:marRight w:val="0"/>
          <w:marTop w:val="0"/>
          <w:marBottom w:val="0"/>
          <w:divBdr>
            <w:top w:val="none" w:sz="0" w:space="0" w:color="auto"/>
            <w:left w:val="none" w:sz="0" w:space="0" w:color="auto"/>
            <w:bottom w:val="none" w:sz="0" w:space="0" w:color="auto"/>
            <w:right w:val="none" w:sz="0" w:space="0" w:color="auto"/>
          </w:divBdr>
          <w:divsChild>
            <w:div w:id="1218512230">
              <w:marLeft w:val="0"/>
              <w:marRight w:val="0"/>
              <w:marTop w:val="0"/>
              <w:marBottom w:val="0"/>
              <w:divBdr>
                <w:top w:val="none" w:sz="0" w:space="0" w:color="auto"/>
                <w:left w:val="none" w:sz="0" w:space="0" w:color="auto"/>
                <w:bottom w:val="none" w:sz="0" w:space="0" w:color="auto"/>
                <w:right w:val="none" w:sz="0" w:space="0" w:color="auto"/>
              </w:divBdr>
              <w:divsChild>
                <w:div w:id="1552619547">
                  <w:marLeft w:val="0"/>
                  <w:marRight w:val="0"/>
                  <w:marTop w:val="0"/>
                  <w:marBottom w:val="0"/>
                  <w:divBdr>
                    <w:top w:val="none" w:sz="0" w:space="0" w:color="auto"/>
                    <w:left w:val="none" w:sz="0" w:space="0" w:color="auto"/>
                    <w:bottom w:val="none" w:sz="0" w:space="0" w:color="auto"/>
                    <w:right w:val="none" w:sz="0" w:space="0" w:color="auto"/>
                  </w:divBdr>
                  <w:divsChild>
                    <w:div w:id="17332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8366">
      <w:bodyDiv w:val="1"/>
      <w:marLeft w:val="0"/>
      <w:marRight w:val="0"/>
      <w:marTop w:val="0"/>
      <w:marBottom w:val="0"/>
      <w:divBdr>
        <w:top w:val="none" w:sz="0" w:space="0" w:color="auto"/>
        <w:left w:val="none" w:sz="0" w:space="0" w:color="auto"/>
        <w:bottom w:val="none" w:sz="0" w:space="0" w:color="auto"/>
        <w:right w:val="none" w:sz="0" w:space="0" w:color="auto"/>
      </w:divBdr>
    </w:div>
    <w:div w:id="199637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allianzgi.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008195\Downloads\AllianzGI_Press-release_Simplified_DINA4.dotx" TargetMode="External"/></Relationships>
</file>

<file path=word/theme/theme1.xml><?xml version="1.0" encoding="utf-8"?>
<a:theme xmlns:a="http://schemas.openxmlformats.org/drawingml/2006/main" name="AllianzGI-2023">
  <a:themeElements>
    <a:clrScheme name="AllianzGI_02-23">
      <a:dk1>
        <a:srgbClr val="003781"/>
      </a:dk1>
      <a:lt1>
        <a:srgbClr val="FFFFFF"/>
      </a:lt1>
      <a:dk2>
        <a:srgbClr val="003781"/>
      </a:dk2>
      <a:lt2>
        <a:srgbClr val="414141"/>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7F7F7F"/>
      </a:folHlink>
    </a:clrScheme>
    <a:fontScheme name="AllianzGI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1"/>
        </a:solidFill>
        <a:ln w="19050" cap="flat" cmpd="sng" algn="ctr">
          <a:solidFill>
            <a:schemeClr val="accent5"/>
          </a:solidFill>
          <a:prstDash val="solid"/>
          <a:round/>
          <a:headEnd type="none" w="med" len="med"/>
          <a:tailEnd type="none" w="med" len="med"/>
        </a:ln>
        <a:effectLst/>
      </a:spPr>
      <a:bodyPr lIns="72000" tIns="72000" rIns="72000" bIns="72000" rtlCol="0" anchor="t"/>
      <a:lstStyle>
        <a:defPPr algn="l">
          <a:spcBef>
            <a:spcPts val="360"/>
          </a:spcBef>
          <a:spcAft>
            <a:spcPts val="360"/>
          </a:spcAft>
          <a:defRPr sz="1200" dirty="0" err="1" smtClean="0"/>
        </a:defPPr>
      </a:lstStyle>
    </a:spDef>
    <a:lnDef>
      <a:spPr bwMode="auto">
        <a:noFill/>
        <a:ln w="19050" cap="flat" cmpd="sng" algn="ctr">
          <a:solidFill>
            <a:schemeClr val="accent5"/>
          </a:solidFill>
          <a:prstDash val="solid"/>
          <a:round/>
          <a:headEnd type="none" w="med" len="med"/>
          <a:tailEnd type="none" w="med" len="med"/>
        </a:ln>
        <a:effectLst/>
      </a:spPr>
      <a:bodyPr/>
      <a:lstStyle/>
    </a:lnDef>
    <a:txDef>
      <a:spPr>
        <a:noFill/>
      </a:spPr>
      <a:bodyPr wrap="none" lIns="0" tIns="0" rIns="0" bIns="0" rtlCol="0">
        <a:spAutoFit/>
      </a:bodyPr>
      <a:lstStyle>
        <a:defPPr algn="l">
          <a:spcBef>
            <a:spcPts val="360"/>
          </a:spcBef>
          <a:spcAft>
            <a:spcPts val="360"/>
          </a:spcAft>
          <a:buClr>
            <a:schemeClr val="tx2"/>
          </a:buClr>
          <a:tabLst/>
          <a:defRPr sz="1200" dirty="0" err="1" smtClean="0"/>
        </a:defPPr>
      </a:lstStyle>
    </a:txDef>
  </a:objectDefaults>
  <a:extraClrSchemeLst>
    <a:extraClrScheme>
      <a:clrScheme name="AllianzGI_02-2023">
        <a:dk1>
          <a:srgbClr val="003781"/>
        </a:dk1>
        <a:lt1>
          <a:srgbClr val="FFFFFF"/>
        </a:lt1>
        <a:dk2>
          <a:srgbClr val="003781"/>
        </a:dk2>
        <a:lt2>
          <a:srgbClr val="414141"/>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CFCFCF"/>
        </a:folHlink>
      </a:clrScheme>
      <a:clrMap bg1="lt1" tx1="dk1" bg2="lt2" tx2="dk2" accent1="accent1" accent2="accent2" accent3="accent3" accent4="accent4" accent5="accent5" accent6="accent6" hlink="hlink" folHlink="folHlink"/>
    </a:extraClrScheme>
  </a:extraClrSchemeLst>
  <a:custClrLst>
    <a:custClr name="Purple">
      <a:srgbClr val="A6276F"/>
    </a:custClr>
    <a:custClr name="Red">
      <a:srgbClr val="F62459"/>
    </a:custClr>
    <a:custClr name="Orange">
      <a:srgbClr val="F86200"/>
    </a:custClr>
    <a:custClr name="Yellow">
      <a:srgbClr val="FAB600"/>
    </a:custClr>
    <a:custClr name="Dark Blue 80%">
      <a:srgbClr val="415576"/>
    </a:custClr>
    <a:custClr name="Blue 1 80%">
      <a:srgbClr val="3381A8"/>
    </a:custClr>
    <a:custClr name="Blue 2 80%">
      <a:srgbClr val="3395C2"/>
    </a:custClr>
    <a:custClr name="Blue 3 80%">
      <a:srgbClr val="42B3DC"/>
    </a:custClr>
    <a:custClr name="Blue 4 80%">
      <a:srgbClr val="C4E1EB"/>
    </a:custClr>
    <a:custClr name="Bright Green">
      <a:srgbClr val="5FCD8A"/>
    </a:custClr>
    <a:custClr name="Purple 80%">
      <a:srgbClr val="B8528C"/>
    </a:custClr>
    <a:custClr name="Red 80%">
      <a:srgbClr val="F8507A"/>
    </a:custClr>
    <a:custClr name="Orange 80%">
      <a:srgbClr val="F98133"/>
    </a:custClr>
    <a:custClr name="Yellow 80%">
      <a:srgbClr val="FBC533"/>
    </a:custClr>
    <a:custClr name="Dark Blue 60%">
      <a:srgbClr val="718098"/>
    </a:custClr>
    <a:custClr name="Blue 1 60%">
      <a:srgbClr val="66A0BE"/>
    </a:custClr>
    <a:custClr name="Blue 2 60%">
      <a:srgbClr val="66AFD1"/>
    </a:custClr>
    <a:custClr name="Blue 3 60%">
      <a:srgbClr val="71C6E5"/>
    </a:custClr>
    <a:custClr name="Blue 4 60%">
      <a:srgbClr val="D3E9F0"/>
    </a:custClr>
    <a:custClr name="Bright Green 80%">
      <a:srgbClr val="7FD7A1"/>
    </a:custClr>
    <a:custClr name="Purple 60%">
      <a:srgbClr val="CA7DA9"/>
    </a:custClr>
    <a:custClr name="Red 60%">
      <a:srgbClr val="FA7C9B"/>
    </a:custClr>
    <a:custClr name="Orange 60%">
      <a:srgbClr val="FBA166"/>
    </a:custClr>
    <a:custClr name="Yellow 60%">
      <a:srgbClr val="FCD366"/>
    </a:custClr>
    <a:custClr name="Dark Blue 40%">
      <a:srgbClr val="A0AABB"/>
    </a:custClr>
    <a:custClr name="Blue 1 40%">
      <a:srgbClr val="99C0D3"/>
    </a:custClr>
    <a:custClr name="Blue 2 40%">
      <a:srgbClr val="99CAE1"/>
    </a:custClr>
    <a:custClr name="Blue 3 40%">
      <a:srgbClr val="A1D9ED"/>
    </a:custClr>
    <a:custClr name="Blue 4 40%">
      <a:srgbClr val="E1F0F5"/>
    </a:custClr>
    <a:custClr name="Bright Green 60%">
      <a:srgbClr val="9FE1B9"/>
    </a:custClr>
    <a:custClr name="Purple 40%">
      <a:srgbClr val="DBA9C5"/>
    </a:custClr>
    <a:custClr name="Red 40%">
      <a:srgbClr val="FBA7BD"/>
    </a:custClr>
    <a:custClr name="Orange 40%">
      <a:srgbClr val="FCC099"/>
    </a:custClr>
    <a:custClr name="Yellow 40%">
      <a:srgbClr val="FDE299"/>
    </a:custClr>
    <a:custClr name="Dark Blue 30%">
      <a:srgbClr val="D0D5DD"/>
    </a:custClr>
    <a:custClr name="Blue 1 30%">
      <a:srgbClr val="CCDFE9"/>
    </a:custClr>
    <a:custClr name="Blue 2 30%">
      <a:srgbClr val="CCE4F0"/>
    </a:custClr>
    <a:custClr name="Blue 3 30%">
      <a:srgbClr val="D0ECF6"/>
    </a:custClr>
    <a:custClr name="Blue 4 20%">
      <a:srgbClr val="B5DAE6"/>
    </a:custClr>
    <a:custClr name="Bright Green 40">
      <a:srgbClr val="BFEBD0"/>
    </a:custClr>
    <a:custClr name="Purple 20%">
      <a:srgbClr val="EDD4E2"/>
    </a:custClr>
    <a:custClr name="Red 30%">
      <a:srgbClr val="FDD3DE"/>
    </a:custClr>
    <a:custClr name="Orange 30%">
      <a:srgbClr val="FEE0CC"/>
    </a:custClr>
    <a:custClr name="Yellow 30%">
      <a:srgbClr val="FEF0CC"/>
    </a:custClr>
    <a:custClr name="Dark Green">
      <a:srgbClr val="00908D"/>
    </a:custClr>
    <a:custClr name="Dark Green 80%">
      <a:srgbClr val="33A6A4"/>
    </a:custClr>
    <a:custClr name="Dark Green 60%">
      <a:srgbClr val="7FC7C6"/>
    </a:custClr>
    <a:custClr name="Dark Green 50%">
      <a:srgbClr val="99D3D1"/>
    </a:custClr>
    <a:custClr name="Dark Green 20%">
      <a:srgbClr val="CCE9E8"/>
    </a:custClr>
    <a:custClr name="Bright Green 30%">
      <a:srgbClr val="DFF5E8"/>
    </a:custClr>
  </a:custClrLst>
  <a:extLst>
    <a:ext uri="{05A4C25C-085E-4340-85A3-A5531E510DB2}">
      <thm15:themeFamily xmlns:thm15="http://schemas.microsoft.com/office/thememl/2012/main" name="AllianzGI-2023" id="{1F458FAB-29A3-434C-A5D6-6F7CA8DE9170}" vid="{C530C831-568B-4B09-9C3F-41D3614568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9300-6378-4D9A-8F8F-7D51610B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C:\Users\A00008195\Downloads\AllianzGI_Press-release_Simplified_DINA4.dotx</Template>
  <TotalTime>8</TotalTime>
  <Pages>4</Pages>
  <Words>2346</Words>
  <Characters>12669</Characters>
  <Application>Microsoft Office Word</Application>
  <DocSecurity>0</DocSecurity>
  <Lines>105</Lines>
  <Paragraphs>29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Brief</vt:lpstr>
      <vt:lpstr>Brief</vt:lpstr>
      <vt:lpstr>Brief</vt:lpstr>
    </vt:vector>
  </TitlesOfParts>
  <Company>PC-Schulung, PC-Betreuung</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Fong, Celia (AllianzGI)</dc:creator>
  <dc:description>Positionen werden per Makro abgefragt</dc:description>
  <cp:lastModifiedBy>Pedro Salazar</cp:lastModifiedBy>
  <cp:revision>4</cp:revision>
  <cp:lastPrinted>2023-05-04T12:56:00Z</cp:lastPrinted>
  <dcterms:created xsi:type="dcterms:W3CDTF">2024-11-06T11:10:00Z</dcterms:created>
  <dcterms:modified xsi:type="dcterms:W3CDTF">2024-11-06T11:45:00Z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1d2ef4-471a-450b-b804-da016b8121de_Enabled">
    <vt:lpwstr>true</vt:lpwstr>
  </property>
  <property fmtid="{D5CDD505-2E9C-101B-9397-08002B2CF9AE}" pid="3" name="MSIP_Label_511d2ef4-471a-450b-b804-da016b8121de_SetDate">
    <vt:lpwstr>2023-05-05T08:16:26Z</vt:lpwstr>
  </property>
  <property fmtid="{D5CDD505-2E9C-101B-9397-08002B2CF9AE}" pid="4" name="MSIP_Label_511d2ef4-471a-450b-b804-da016b8121de_Method">
    <vt:lpwstr>Standard</vt:lpwstr>
  </property>
  <property fmtid="{D5CDD505-2E9C-101B-9397-08002B2CF9AE}" pid="5" name="MSIP_Label_511d2ef4-471a-450b-b804-da016b8121de_Name">
    <vt:lpwstr>511d2ef4-471a-450b-b804-da016b8121de</vt:lpwstr>
  </property>
  <property fmtid="{D5CDD505-2E9C-101B-9397-08002B2CF9AE}" pid="6" name="MSIP_Label_511d2ef4-471a-450b-b804-da016b8121de_SiteId">
    <vt:lpwstr>a1eacbd5-fb0e-46f1-81e3-4965ea8e45bb</vt:lpwstr>
  </property>
  <property fmtid="{D5CDD505-2E9C-101B-9397-08002B2CF9AE}" pid="7" name="MSIP_Label_511d2ef4-471a-450b-b804-da016b8121de_ActionId">
    <vt:lpwstr>5b4b754c-a2ca-430c-bbad-c027ed867960</vt:lpwstr>
  </property>
  <property fmtid="{D5CDD505-2E9C-101B-9397-08002B2CF9AE}" pid="8" name="MSIP_Label_511d2ef4-471a-450b-b804-da016b8121de_ContentBits">
    <vt:lpwstr>2</vt:lpwstr>
  </property>
</Properties>
</file>